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pct" w:w="1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
      </w:tblGrid>
      <w:tr>
        <w:trPr>
          <w:trHeight w:val="16838" w:hRule="exact"/>
        </w:trPr>
        <w:tc>
          <w:tcPr>
            <w:tcBorders>
              <w:top w:val="none" w:color="FFFFFF" w:sz="0"/>
              <w:left w:val="none" w:color="FFFFFF" w:sz="0"/>
              <w:bottom w:val="none" w:color="FFFFFF" w:sz="0"/>
              <w:right w:val="none" w:color="FFFFFF" w:sz="0"/>
            </w:tcBorders>
            <w:shd w:fill="FFFFFF" w:val="clear"/>
            <w:vAlign w:val="top"/>
          </w:tcPr>
          <w:tbl>
            <w:tblPr>
              <w:tblW w:type="pct" w:w="1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
            </w:tblGrid>
            <w:tr>
              <w:trPr>
                <w:trHeight w:val="7500" w:hRule="exact"/>
              </w:trPr>
              <w:tc>
                <w:tcPr>
                  <w:tcBorders>
                    <w:top w:val="none" w:color="FFFFFF" w:sz="0"/>
                    <w:left w:val="none" w:color="FFFFFF" w:sz="0"/>
                    <w:bottom w:val="none" w:color="FFFFFF" w:sz="0"/>
                    <w:right w:val="none" w:color="FFFFFF" w:sz="0"/>
                  </w:tcBorders>
                  <w:shd w:fill="1A2330" w:val="clear"/>
                  <w:tcMar>
                    <w:left w:type="dxa" w:w="1200"/>
                    <w:right w:type="dxa" w:w="800"/>
                  </w:tcMar>
                  <w:vAlign w:val="top"/>
                </w:tcPr>
                <w:p>
                  <w:pPr>
                    <w:spacing w:before="4117"/>
                  </w:pPr>
                </w:p>
                <w:p>
                  <w:pPr>
                    <w:spacing w:after="500"/>
                  </w:pPr>
                  <w:r>
                    <w:rPr>
                      <w:rFonts w:ascii="Calibri"/>
                      <w:color w:val="D4875A"/>
                      <w:spacing w:val="60"/>
                      <w:sz w:val="18"/>
                      <w:szCs w:val="18"/>
                    </w:rPr>
                    <w:t xml:space="preserve">P R O J E C T   P L A N</w:t>
                  </w:r>
                </w:p>
                <w:p>
                  <w:pPr>
                    <w:spacing w:after="200" w:line="920" w:lineRule="atLeast"/>
                  </w:pPr>
                  <w:r>
                    <w:rPr>
                      <w:rFonts w:ascii="Arial" w:eastAsia="SimHei"/>
                      <w:b/>
                      <w:bCs/>
                      <w:color w:val="FFFFFF"/>
                      <w:sz w:val="80"/>
                      <w:szCs w:val="80"/>
                    </w:rPr>
                    <w:t xml:space="preserve">Mario Software</w:t>
                  </w:r>
                </w:p>
                <w:p>
                  <w:pPr>
                    <w:spacing w:after="100" w:line="276" w:lineRule="atLeast"/>
                  </w:pPr>
                  <w:r>
                    <w:rPr>
                      <w:rFonts w:ascii="Arial" w:eastAsia="Microsoft YaHei"/>
                      <w:color w:val="B0B8C0"/>
                      <w:sz w:val="24"/>
                      <w:szCs w:val="24"/>
                    </w:rPr>
                    <w:t xml:space="preserve">Project Plan &amp; Work Breakdown Structure - Concept to Validation</w:t>
                  </w:r>
                </w:p>
              </w:tc>
            </w:tr>
          </w:tbl>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trHeight w:val="60" w:hRule="exact"/>
              </w:trPr>
              <w:tc>
                <w:tcPr>
                  <w:tcBorders>
                    <w:top w:val="none" w:color="FFFFFF" w:sz="0"/>
                    <w:left w:val="none" w:color="FFFFFF" w:sz="0"/>
                    <w:bottom w:val="none" w:color="FFFFFF" w:sz="0"/>
                    <w:right w:val="none" w:color="FFFFFF" w:sz="0"/>
                  </w:tcBorders>
                  <w:shd w:fill="D4875A" w:val="clear"/>
                </w:tcPr>
                <w:p/>
              </w:tc>
            </w:tr>
          </w:tbl>
          <w:p>
            <w:pPr>
              <w:spacing w:before="800"/>
            </w:pPr>
          </w:p>
          <w:p>
            <w:pPr>
              <w:spacing w:after="100"/>
              <w:ind w:left="1200"/>
            </w:pPr>
            <w:r>
              <w:rPr>
                <w:rFonts w:ascii="Arial" w:eastAsia="Microsoft YaHei"/>
                <w:color w:val="6A7380"/>
                <w:sz w:val="28"/>
                <w:szCs w:val="28"/>
              </w:rPr>
              <w:t xml:space="preserve">Version 1.0 - working document for on-site use</w:t>
            </w:r>
          </w:p>
          <w:p>
            <w:pPr>
              <w:spacing w:after="100"/>
              <w:ind w:left="1200"/>
            </w:pPr>
            <w:r>
              <w:rPr>
                <w:rFonts w:ascii="Arial" w:eastAsia="Microsoft YaHei"/>
                <w:color w:val="6A7380"/>
                <w:sz w:val="28"/>
                <w:szCs w:val="28"/>
              </w:rPr>
              <w:t xml:space="preserve">Owner: Zaid Al Dabbag</w:t>
            </w:r>
          </w:p>
          <w:p>
            <w:pPr>
              <w:spacing w:after="100"/>
              <w:ind w:left="1200"/>
            </w:pPr>
            <w:r>
              <w:rPr>
                <w:rFonts w:ascii="Arial" w:eastAsia="Microsoft YaHei"/>
                <w:color w:val="6A7380"/>
                <w:sz w:val="28"/>
                <w:szCs w:val="28"/>
              </w:rPr>
              <w:t xml:space="preserve">Stage: Concept  |  Gate G1: 2026-10-03</w:t>
            </w:r>
          </w:p>
          <w:p>
            <w:pPr>
              <w:spacing w:after="100"/>
              <w:ind w:left="1200"/>
            </w:pPr>
            <w:r>
              <w:rPr>
                <w:rFonts w:ascii="Arial" w:eastAsia="Microsoft YaHei"/>
                <w:color w:val="6A7380"/>
                <w:sz w:val="28"/>
                <w:szCs w:val="28"/>
              </w:rPr>
              <w:t xml:space="preserve">Prepared: 2026-09-13  |  Advisor: ZCode</w:t>
            </w:r>
          </w:p>
          <w:p>
            <w:pPr>
              <w:spacing w:before="2000"/>
            </w:pPr>
          </w:p>
          <w:p>
            <w:pPr>
              <w:ind w:left="1200"/>
            </w:pPr>
            <w:r>
              <w:rPr>
                <w:rFonts w:ascii="Arial"/>
                <w:color w:val="909090"/>
                <w:sz w:val="22"/>
                <w:szCs w:val="22"/>
              </w:rPr>
              <w:t xml:space="preserve">Mario Software engagement</w:t>
            </w:r>
            <w:r>
              <w:t xml:space="preserve">          </w:t>
            </w:r>
            <w:r>
              <w:rPr>
                <w:rFonts w:ascii="Arial"/>
                <w:color w:val="909090"/>
                <w:sz w:val="22"/>
                <w:szCs w:val="22"/>
              </w:rPr>
              <w:t xml:space="preserve">Private &amp; confidential</w:t>
            </w:r>
          </w:p>
        </w:tc>
      </w:tr>
    </w:tbl>
    <w:p>
      <w:pPr>
        <w:sectPr>
          <w:pgSz w:w="11906" w:h="16838" w:orient="portrait"/>
          <w:pgMar w:top="0" w:right="0" w:bottom="0" w:left="0" w:header="708" w:footer="708" w:gutter="0"/>
          <w:docGrid w:linePitch="360"/>
        </w:sectPr>
      </w:pPr>
    </w:p>
    <w:p>
      <w:pPr>
        <w:spacing w:after="360" w:before="480"/>
        <w:jc w:val="center"/>
      </w:pPr>
      <w:r>
        <w:rPr>
          <w:rFonts w:ascii="Times New Roman" w:eastAsia="SimSun"/>
          <w:b/>
          <w:bCs/>
          <w:color w:val="1A2330"/>
          <w:sz w:val="32"/>
          <w:szCs w:val="32"/>
        </w:rPr>
        <w:t xml:space="preserve">Table of Contents</w:t>
      </w:r>
    </w:p>
    <w:sdt>
      <w:sdtPr>
        <w:alias w:val="Table of Contents"/>
      </w:sdtPr>
      <w:sdtContent>
        <w:p>
          <w:r>
            <w:fldChar w:fldCharType="begin" w:dirty="true"/>
          </w:r>
          <w:r>
            <w:instrText xml:space="preserve">TOC \h \o "1-2"</w:instrText>
          </w:r>
          <w:r>
            <w:fldChar w:fldCharType="separate"/>
          </w:r>
        </w:p>
        <w:p>
          <w:pPr>
            <w:pStyle w:val="9"/>
            <w:tabs>
              <w:tab w:val="right" w:leader="dot" w:pos="9026"/>
            </w:tabs>
            <w:spacing w:before="120" w:after="60"/>
          </w:pPr>
          <w:hyperlink w:anchor="_Toc100000" w:history="1">
            <w:r>
              <w:rPr>
                <w:rStyle w:val="Hyperlink"/>
              </w:rPr>
              <w:t>1  Executive Summary</w:t>
            </w:r>
            <w:r>
              <w:tab/>
            </w:r>
            <w:r>
              <w:fldChar w:fldCharType="begin"/>
            </w:r>
            <w:r>
              <w:instrText xml:space="preserve"> PAGEREF _Toc100000 \h </w:instrText>
            </w:r>
            <w:r>
              <w:fldChar w:fldCharType="separate"/>
            </w:r>
            <w:r>
              <w:t>1</w:t>
            </w:r>
            <w:r>
              <w:fldChar w:fldCharType="end"/>
            </w:r>
          </w:hyperlink>
        </w:p>
        <w:p>
          <w:pPr>
            <w:pStyle w:val="9"/>
            <w:tabs>
              <w:tab w:val="right" w:leader="dot" w:pos="9026"/>
            </w:tabs>
            <w:spacing w:before="120" w:after="60"/>
          </w:pPr>
          <w:hyperlink w:anchor="_Toc100001" w:history="1">
            <w:r>
              <w:rPr>
                <w:rStyle w:val="Hyperlink"/>
              </w:rPr>
              <w:t>2  Objectives and Success Criteria</w:t>
            </w:r>
            <w:r>
              <w:tab/>
            </w:r>
            <w:r>
              <w:fldChar w:fldCharType="begin"/>
            </w:r>
            <w:r>
              <w:instrText xml:space="preserve"> PAGEREF _Toc100001 \h </w:instrText>
            </w:r>
            <w:r>
              <w:fldChar w:fldCharType="separate"/>
            </w:r>
            <w:r>
              <w:t>2</w:t>
            </w:r>
            <w:r>
              <w:fldChar w:fldCharType="end"/>
            </w:r>
          </w:hyperlink>
        </w:p>
        <w:p>
          <w:pPr>
            <w:pStyle w:val="9"/>
            <w:tabs>
              <w:tab w:val="right" w:leader="dot" w:pos="9026"/>
            </w:tabs>
            <w:spacing w:before="120" w:after="60"/>
          </w:pPr>
          <w:hyperlink w:anchor="_Toc100002" w:history="1">
            <w:r>
              <w:rPr>
                <w:rStyle w:val="Hyperlink"/>
              </w:rPr>
              <w:t>3  Constraints and Ground Rules</w:t>
            </w:r>
            <w:r>
              <w:tab/>
            </w:r>
            <w:r>
              <w:fldChar w:fldCharType="begin"/>
            </w:r>
            <w:r>
              <w:instrText xml:space="preserve"> PAGEREF _Toc100002 \h </w:instrText>
            </w:r>
            <w:r>
              <w:fldChar w:fldCharType="separate"/>
            </w:r>
            <w:r>
              <w:t>2</w:t>
            </w:r>
            <w:r>
              <w:fldChar w:fldCharType="end"/>
            </w:r>
          </w:hyperlink>
        </w:p>
        <w:p>
          <w:pPr>
            <w:pStyle w:val="9"/>
            <w:tabs>
              <w:tab w:val="right" w:leader="dot" w:pos="9026"/>
            </w:tabs>
            <w:spacing w:before="120" w:after="60"/>
          </w:pPr>
          <w:hyperlink w:anchor="_Toc100003" w:history="1">
            <w:r>
              <w:rPr>
                <w:rStyle w:val="Hyperlink"/>
              </w:rPr>
              <w:t>4  Engagement Strategy</w:t>
            </w:r>
            <w:r>
              <w:tab/>
            </w:r>
            <w:r>
              <w:fldChar w:fldCharType="begin"/>
            </w:r>
            <w:r>
              <w:instrText xml:space="preserve"> PAGEREF _Toc100003 \h </w:instrText>
            </w:r>
            <w:r>
              <w:fldChar w:fldCharType="separate"/>
            </w:r>
            <w:r>
              <w:t>3</w:t>
            </w:r>
            <w:r>
              <w:fldChar w:fldCharType="end"/>
            </w:r>
          </w:hyperlink>
        </w:p>
        <w:p>
          <w:pPr>
            <w:pStyle w:val="11"/>
            <w:ind w:left="360"/>
            <w:tabs>
              <w:tab w:val="right" w:leader="dot" w:pos="9026"/>
            </w:tabs>
            <w:spacing w:before="120" w:after="60"/>
          </w:pPr>
          <w:hyperlink w:anchor="_Toc100004" w:history="1">
            <w:r>
              <w:rPr>
                <w:rStyle w:val="Hyperlink"/>
              </w:rPr>
              <w:t>4.1  Deal structure options (DEC-001)</w:t>
            </w:r>
            <w:r>
              <w:tab/>
            </w:r>
            <w:r>
              <w:fldChar w:fldCharType="begin"/>
            </w:r>
            <w:r>
              <w:instrText xml:space="preserve"> PAGEREF _Toc100004 \h </w:instrText>
            </w:r>
            <w:r>
              <w:fldChar w:fldCharType="separate"/>
            </w:r>
            <w:r>
              <w:t>3</w:t>
            </w:r>
            <w:r>
              <w:fldChar w:fldCharType="end"/>
            </w:r>
          </w:hyperlink>
        </w:p>
        <w:p>
          <w:pPr>
            <w:pStyle w:val="11"/>
            <w:ind w:left="360"/>
            <w:tabs>
              <w:tab w:val="right" w:leader="dot" w:pos="9026"/>
            </w:tabs>
            <w:spacing w:before="120" w:after="60"/>
          </w:pPr>
          <w:hyperlink w:anchor="_Toc100005" w:history="1">
            <w:r>
              <w:rPr>
                <w:rStyle w:val="Hyperlink"/>
              </w:rPr>
              <w:t>4.2  Recommended sequence: paid spike first</w:t>
            </w:r>
            <w:r>
              <w:tab/>
            </w:r>
            <w:r>
              <w:fldChar w:fldCharType="begin"/>
            </w:r>
            <w:r>
              <w:instrText xml:space="preserve"> PAGEREF _Toc100005 \h </w:instrText>
            </w:r>
            <w:r>
              <w:fldChar w:fldCharType="separate"/>
            </w:r>
            <w:r>
              <w:t>3</w:t>
            </w:r>
            <w:r>
              <w:fldChar w:fldCharType="end"/>
            </w:r>
          </w:hyperlink>
        </w:p>
        <w:p>
          <w:pPr>
            <w:pStyle w:val="11"/>
            <w:ind w:left="360"/>
            <w:tabs>
              <w:tab w:val="right" w:leader="dot" w:pos="9026"/>
            </w:tabs>
            <w:spacing w:before="120" w:after="60"/>
          </w:pPr>
          <w:hyperlink w:anchor="_Toc100006" w:history="1">
            <w:r>
              <w:rPr>
                <w:rStyle w:val="Hyperlink"/>
              </w:rPr>
              <w:t>4.3  Technical approach (DEC-002)</w:t>
            </w:r>
            <w:r>
              <w:tab/>
            </w:r>
            <w:r>
              <w:fldChar w:fldCharType="begin"/>
            </w:r>
            <w:r>
              <w:instrText xml:space="preserve"> PAGEREF _Toc100006 \h </w:instrText>
            </w:r>
            <w:r>
              <w:fldChar w:fldCharType="separate"/>
            </w:r>
            <w:r>
              <w:t>3</w:t>
            </w:r>
            <w:r>
              <w:fldChar w:fldCharType="end"/>
            </w:r>
          </w:hyperlink>
        </w:p>
        <w:p>
          <w:pPr>
            <w:pStyle w:val="9"/>
            <w:tabs>
              <w:tab w:val="right" w:leader="dot" w:pos="9026"/>
            </w:tabs>
            <w:spacing w:before="120" w:after="60"/>
          </w:pPr>
          <w:hyperlink w:anchor="_Toc100007" w:history="1">
            <w:r>
              <w:rPr>
                <w:rStyle w:val="Hyperlink"/>
              </w:rPr>
              <w:t>5  Work Breakdown Structure</w:t>
            </w:r>
            <w:r>
              <w:tab/>
            </w:r>
            <w:r>
              <w:fldChar w:fldCharType="begin"/>
            </w:r>
            <w:r>
              <w:instrText xml:space="preserve"> PAGEREF _Toc100007 \h </w:instrText>
            </w:r>
            <w:r>
              <w:fldChar w:fldCharType="separate"/>
            </w:r>
            <w:r>
              <w:t>4</w:t>
            </w:r>
            <w:r>
              <w:fldChar w:fldCharType="end"/>
            </w:r>
          </w:hyperlink>
        </w:p>
        <w:p>
          <w:pPr>
            <w:pStyle w:val="11"/>
            <w:ind w:left="360"/>
            <w:tabs>
              <w:tab w:val="right" w:leader="dot" w:pos="9026"/>
            </w:tabs>
            <w:spacing w:before="120" w:after="60"/>
          </w:pPr>
          <w:hyperlink w:anchor="_Toc100008" w:history="1">
            <w:r>
              <w:rPr>
                <w:rStyle w:val="Hyperlink"/>
              </w:rPr>
              <w:t>5.1  Level 1 and 2 overview</w:t>
            </w:r>
            <w:r>
              <w:tab/>
            </w:r>
            <w:r>
              <w:fldChar w:fldCharType="begin"/>
            </w:r>
            <w:r>
              <w:instrText xml:space="preserve"> PAGEREF _Toc100008 \h </w:instrText>
            </w:r>
            <w:r>
              <w:fldChar w:fldCharType="separate"/>
            </w:r>
            <w:r>
              <w:t>4</w:t>
            </w:r>
            <w:r>
              <w:fldChar w:fldCharType="end"/>
            </w:r>
          </w:hyperlink>
        </w:p>
        <w:p>
          <w:pPr>
            <w:pStyle w:val="11"/>
            <w:ind w:left="360"/>
            <w:tabs>
              <w:tab w:val="right" w:leader="dot" w:pos="9026"/>
            </w:tabs>
            <w:spacing w:before="120" w:after="60"/>
          </w:pPr>
          <w:hyperlink w:anchor="_Toc100009" w:history="1">
            <w:r>
              <w:rPr>
                <w:rStyle w:val="Hyperlink"/>
              </w:rPr>
              <w:t>5.2  Branch 1 - commitment phase (work packages)</w:t>
            </w:r>
            <w:r>
              <w:tab/>
            </w:r>
            <w:r>
              <w:fldChar w:fldCharType="begin"/>
            </w:r>
            <w:r>
              <w:instrText xml:space="preserve"> PAGEREF _Toc100009 \h </w:instrText>
            </w:r>
            <w:r>
              <w:fldChar w:fldCharType="separate"/>
            </w:r>
            <w:r>
              <w:t>4</w:t>
            </w:r>
            <w:r>
              <w:fldChar w:fldCharType="end"/>
            </w:r>
          </w:hyperlink>
        </w:p>
        <w:p>
          <w:pPr>
            <w:pStyle w:val="11"/>
            <w:ind w:left="360"/>
            <w:tabs>
              <w:tab w:val="right" w:leader="dot" w:pos="9026"/>
            </w:tabs>
            <w:spacing w:before="120" w:after="60"/>
          </w:pPr>
          <w:hyperlink w:anchor="_Toc100010" w:history="1">
            <w:r>
              <w:rPr>
                <w:rStyle w:val="Hyperlink"/>
              </w:rPr>
              <w:t>5.3  Branch 2 - conditional build phase (outline only)</w:t>
            </w:r>
            <w:r>
              <w:tab/>
            </w:r>
            <w:r>
              <w:fldChar w:fldCharType="begin"/>
            </w:r>
            <w:r>
              <w:instrText xml:space="preserve"> PAGEREF _Toc100010 \h </w:instrText>
            </w:r>
            <w:r>
              <w:fldChar w:fldCharType="separate"/>
            </w:r>
            <w:r>
              <w:t>5</w:t>
            </w:r>
            <w:r>
              <w:fldChar w:fldCharType="end"/>
            </w:r>
          </w:hyperlink>
        </w:p>
        <w:p>
          <w:pPr>
            <w:pStyle w:val="11"/>
            <w:ind w:left="360"/>
            <w:tabs>
              <w:tab w:val="right" w:leader="dot" w:pos="9026"/>
            </w:tabs>
            <w:spacing w:before="120" w:after="60"/>
          </w:pPr>
          <w:hyperlink w:anchor="_Toc100011" w:history="1">
            <w:r>
              <w:rPr>
                <w:rStyle w:val="Hyperlink"/>
              </w:rPr>
              <w:t>5.4  WBS conventions</w:t>
            </w:r>
            <w:r>
              <w:tab/>
            </w:r>
            <w:r>
              <w:fldChar w:fldCharType="begin"/>
            </w:r>
            <w:r>
              <w:instrText xml:space="preserve"> PAGEREF _Toc100011 \h </w:instrText>
            </w:r>
            <w:r>
              <w:fldChar w:fldCharType="separate"/>
            </w:r>
            <w:r>
              <w:t>5</w:t>
            </w:r>
            <w:r>
              <w:fldChar w:fldCharType="end"/>
            </w:r>
          </w:hyperlink>
        </w:p>
        <w:p>
          <w:pPr>
            <w:pStyle w:val="9"/>
            <w:tabs>
              <w:tab w:val="right" w:leader="dot" w:pos="9026"/>
            </w:tabs>
            <w:spacing w:before="120" w:after="60"/>
          </w:pPr>
          <w:hyperlink w:anchor="_Toc100012" w:history="1">
            <w:r>
              <w:rPr>
                <w:rStyle w:val="Hyperlink"/>
              </w:rPr>
              <w:t>6  Phase Plans and Schedule</w:t>
            </w:r>
            <w:r>
              <w:tab/>
            </w:r>
            <w:r>
              <w:fldChar w:fldCharType="begin"/>
            </w:r>
            <w:r>
              <w:instrText xml:space="preserve"> PAGEREF _Toc100012 \h </w:instrText>
            </w:r>
            <w:r>
              <w:fldChar w:fldCharType="separate"/>
            </w:r>
            <w:r>
              <w:t>5</w:t>
            </w:r>
            <w:r>
              <w:fldChar w:fldCharType="end"/>
            </w:r>
          </w:hyperlink>
        </w:p>
        <w:p>
          <w:pPr>
            <w:pStyle w:val="11"/>
            <w:ind w:left="360"/>
            <w:tabs>
              <w:tab w:val="right" w:leader="dot" w:pos="9026"/>
            </w:tabs>
            <w:spacing w:before="120" w:after="60"/>
          </w:pPr>
          <w:hyperlink w:anchor="_Toc100013" w:history="1">
            <w:r>
              <w:rPr>
                <w:rStyle w:val="Hyperlink"/>
              </w:rPr>
              <w:t>6.1  Phase 0 - concept assessment (complete)</w:t>
            </w:r>
            <w:r>
              <w:tab/>
            </w:r>
            <w:r>
              <w:fldChar w:fldCharType="begin"/>
            </w:r>
            <w:r>
              <w:instrText xml:space="preserve"> PAGEREF _Toc100013 \h </w:instrText>
            </w:r>
            <w:r>
              <w:fldChar w:fldCharType="separate"/>
            </w:r>
            <w:r>
              <w:t>5</w:t>
            </w:r>
            <w:r>
              <w:fldChar w:fldCharType="end"/>
            </w:r>
          </w:hyperlink>
        </w:p>
        <w:p>
          <w:pPr>
            <w:pStyle w:val="11"/>
            <w:ind w:left="360"/>
            <w:tabs>
              <w:tab w:val="right" w:leader="dot" w:pos="9026"/>
            </w:tabs>
            <w:spacing w:before="120" w:after="60"/>
          </w:pPr>
          <w:hyperlink w:anchor="_Toc100014" w:history="1">
            <w:r>
              <w:rPr>
                <w:rStyle w:val="Hyperlink"/>
              </w:rPr>
              <w:t>6.2  Phase 1 - inputs and structure (current, gate 2026-10-03)</w:t>
            </w:r>
            <w:r>
              <w:tab/>
            </w:r>
            <w:r>
              <w:fldChar w:fldCharType="begin"/>
            </w:r>
            <w:r>
              <w:instrText xml:space="preserve"> PAGEREF _Toc100014 \h </w:instrText>
            </w:r>
            <w:r>
              <w:fldChar w:fldCharType="separate"/>
            </w:r>
            <w:r>
              <w:t>5</w:t>
            </w:r>
            <w:r>
              <w:fldChar w:fldCharType="end"/>
            </w:r>
          </w:hyperlink>
        </w:p>
        <w:p>
          <w:pPr>
            <w:pStyle w:val="11"/>
            <w:ind w:left="360"/>
            <w:tabs>
              <w:tab w:val="right" w:leader="dot" w:pos="9026"/>
            </w:tabs>
            <w:spacing w:before="120" w:after="60"/>
          </w:pPr>
          <w:hyperlink w:anchor="_Toc100015" w:history="1">
            <w:r>
              <w:rPr>
                <w:rStyle w:val="Hyperlink"/>
              </w:rPr>
              <w:t>6.3  Phase 2 - feasibility spike (October to November 2026)</w:t>
            </w:r>
            <w:r>
              <w:tab/>
            </w:r>
            <w:r>
              <w:fldChar w:fldCharType="begin"/>
            </w:r>
            <w:r>
              <w:instrText xml:space="preserve"> PAGEREF _Toc100015 \h </w:instrText>
            </w:r>
            <w:r>
              <w:fldChar w:fldCharType="separate"/>
            </w:r>
            <w:r>
              <w:t>6</w:t>
            </w:r>
            <w:r>
              <w:fldChar w:fldCharType="end"/>
            </w:r>
          </w:hyperlink>
        </w:p>
        <w:p>
          <w:pPr>
            <w:pStyle w:val="11"/>
            <w:ind w:left="360"/>
            <w:tabs>
              <w:tab w:val="right" w:leader="dot" w:pos="9026"/>
            </w:tabs>
            <w:spacing w:before="120" w:after="60"/>
          </w:pPr>
          <w:hyperlink w:anchor="_Toc100016" w:history="1">
            <w:r>
              <w:rPr>
                <w:rStyle w:val="Hyperlink"/>
              </w:rPr>
              <w:t>6.4  Phase 3 - validation to build (December 2026, conditional)</w:t>
            </w:r>
            <w:r>
              <w:tab/>
            </w:r>
            <w:r>
              <w:fldChar w:fldCharType="begin"/>
            </w:r>
            <w:r>
              <w:instrText xml:space="preserve"> PAGEREF _Toc100016 \h </w:instrText>
            </w:r>
            <w:r>
              <w:fldChar w:fldCharType="separate"/>
            </w:r>
            <w:r>
              <w:t>6</w:t>
            </w:r>
            <w:r>
              <w:fldChar w:fldCharType="end"/>
            </w:r>
          </w:hyperlink>
        </w:p>
        <w:p>
          <w:pPr>
            <w:pStyle w:val="11"/>
            <w:ind w:left="360"/>
            <w:tabs>
              <w:tab w:val="right" w:leader="dot" w:pos="9026"/>
            </w:tabs>
            <w:spacing w:before="120" w:after="60"/>
          </w:pPr>
          <w:hyperlink w:anchor="_Toc100017" w:history="1">
            <w:r>
              <w:rPr>
                <w:rStyle w:val="Hyperlink"/>
              </w:rPr>
              <w:t>6.5  Milestones</w:t>
            </w:r>
            <w:r>
              <w:tab/>
            </w:r>
            <w:r>
              <w:fldChar w:fldCharType="begin"/>
            </w:r>
            <w:r>
              <w:instrText xml:space="preserve"> PAGEREF _Toc100017 \h </w:instrText>
            </w:r>
            <w:r>
              <w:fldChar w:fldCharType="separate"/>
            </w:r>
            <w:r>
              <w:t>6</w:t>
            </w:r>
            <w:r>
              <w:fldChar w:fldCharType="end"/>
            </w:r>
          </w:hyperlink>
        </w:p>
        <w:p>
          <w:pPr>
            <w:pStyle w:val="11"/>
            <w:ind w:left="360"/>
            <w:tabs>
              <w:tab w:val="right" w:leader="dot" w:pos="9026"/>
            </w:tabs>
            <w:spacing w:before="120" w:after="60"/>
          </w:pPr>
          <w:hyperlink w:anchor="_Toc100018" w:history="1">
            <w:r>
              <w:rPr>
                <w:rStyle w:val="Hyperlink"/>
              </w:rPr>
              <w:t>6.6  Open date conflict (ISS-03) and proposed resolution</w:t>
            </w:r>
            <w:r>
              <w:tab/>
            </w:r>
            <w:r>
              <w:fldChar w:fldCharType="begin"/>
            </w:r>
            <w:r>
              <w:instrText xml:space="preserve"> PAGEREF _Toc100018 \h </w:instrText>
            </w:r>
            <w:r>
              <w:fldChar w:fldCharType="separate"/>
            </w:r>
            <w:r>
              <w:t>6</w:t>
            </w:r>
            <w:r>
              <w:fldChar w:fldCharType="end"/>
            </w:r>
          </w:hyperlink>
        </w:p>
        <w:p>
          <w:pPr>
            <w:pStyle w:val="9"/>
            <w:tabs>
              <w:tab w:val="right" w:leader="dot" w:pos="9026"/>
            </w:tabs>
            <w:spacing w:before="120" w:after="60"/>
          </w:pPr>
          <w:hyperlink w:anchor="_Toc100019" w:history="1">
            <w:r>
              <w:rPr>
                <w:rStyle w:val="Hyperlink"/>
              </w:rPr>
              <w:t>7  Next Week at Mario's - Session Plans</w:t>
            </w:r>
            <w:r>
              <w:tab/>
            </w:r>
            <w:r>
              <w:fldChar w:fldCharType="begin"/>
            </w:r>
            <w:r>
              <w:instrText xml:space="preserve"> PAGEREF _Toc100019 \h </w:instrText>
            </w:r>
            <w:r>
              <w:fldChar w:fldCharType="separate"/>
            </w:r>
            <w:r>
              <w:t>7</w:t>
            </w:r>
            <w:r>
              <w:fldChar w:fldCharType="end"/>
            </w:r>
          </w:hyperlink>
        </w:p>
        <w:p>
          <w:pPr>
            <w:pStyle w:val="11"/>
            <w:ind w:left="360"/>
            <w:tabs>
              <w:tab w:val="right" w:leader="dot" w:pos="9026"/>
            </w:tabs>
            <w:spacing w:before="120" w:after="60"/>
          </w:pPr>
          <w:hyperlink w:anchor="_Toc100020" w:history="1">
            <w:r>
              <w:rPr>
                <w:rStyle w:val="Hyperlink"/>
              </w:rPr>
              <w:t>7.1  What to bring</w:t>
            </w:r>
            <w:r>
              <w:tab/>
            </w:r>
            <w:r>
              <w:fldChar w:fldCharType="begin"/>
            </w:r>
            <w:r>
              <w:instrText xml:space="preserve"> PAGEREF _Toc100020 \h </w:instrText>
            </w:r>
            <w:r>
              <w:fldChar w:fldCharType="separate"/>
            </w:r>
            <w:r>
              <w:t>7</w:t>
            </w:r>
            <w:r>
              <w:fldChar w:fldCharType="end"/>
            </w:r>
          </w:hyperlink>
        </w:p>
        <w:p>
          <w:pPr>
            <w:pStyle w:val="11"/>
            <w:ind w:left="360"/>
            <w:tabs>
              <w:tab w:val="right" w:leader="dot" w:pos="9026"/>
            </w:tabs>
            <w:spacing w:before="120" w:after="60"/>
          </w:pPr>
          <w:hyperlink w:anchor="_Toc100021" w:history="1">
            <w:r>
              <w:rPr>
                <w:rStyle w:val="Hyperlink"/>
              </w:rPr>
              <w:t>7.2  Session A - export the framework documents (30-45 minutes)</w:t>
            </w:r>
            <w:r>
              <w:tab/>
            </w:r>
            <w:r>
              <w:fldChar w:fldCharType="begin"/>
            </w:r>
            <w:r>
              <w:instrText xml:space="preserve"> PAGEREF _Toc100021 \h </w:instrText>
            </w:r>
            <w:r>
              <w:fldChar w:fldCharType="separate"/>
            </w:r>
            <w:r>
              <w:t>8</w:t>
            </w:r>
            <w:r>
              <w:fldChar w:fldCharType="end"/>
            </w:r>
          </w:hyperlink>
        </w:p>
        <w:p>
          <w:pPr>
            <w:pStyle w:val="11"/>
            <w:ind w:left="360"/>
            <w:tabs>
              <w:tab w:val="right" w:leader="dot" w:pos="9026"/>
            </w:tabs>
            <w:spacing w:before="120" w:after="60"/>
          </w:pPr>
          <w:hyperlink w:anchor="_Toc100022" w:history="1">
            <w:r>
              <w:rPr>
                <w:rStyle w:val="Hyperlink"/>
              </w:rPr>
              <w:t>7.3  Session B - the scope conversation (60 minutes)</w:t>
            </w:r>
            <w:r>
              <w:tab/>
            </w:r>
            <w:r>
              <w:fldChar w:fldCharType="begin"/>
            </w:r>
            <w:r>
              <w:instrText xml:space="preserve"> PAGEREF _Toc100022 \h </w:instrText>
            </w:r>
            <w:r>
              <w:fldChar w:fldCharType="separate"/>
            </w:r>
            <w:r>
              <w:t>9</w:t>
            </w:r>
            <w:r>
              <w:fldChar w:fldCharType="end"/>
            </w:r>
          </w:hyperlink>
        </w:p>
        <w:p>
          <w:pPr>
            <w:pStyle w:val="11"/>
            <w:ind w:left="360"/>
            <w:tabs>
              <w:tab w:val="right" w:leader="dot" w:pos="9026"/>
            </w:tabs>
            <w:spacing w:before="120" w:after="60"/>
          </w:pPr>
          <w:hyperlink w:anchor="_Toc100023" w:history="1">
            <w:r>
              <w:rPr>
                <w:rStyle w:val="Hyperlink"/>
              </w:rPr>
              <w:t>7.4  Session C - term sheet walk-through (optional, 30 minutes)</w:t>
            </w:r>
            <w:r>
              <w:tab/>
            </w:r>
            <w:r>
              <w:fldChar w:fldCharType="begin"/>
            </w:r>
            <w:r>
              <w:instrText xml:space="preserve"> PAGEREF _Toc100023 \h </w:instrText>
            </w:r>
            <w:r>
              <w:fldChar w:fldCharType="separate"/>
            </w:r>
            <w:r>
              <w:t>9</w:t>
            </w:r>
            <w:r>
              <w:fldChar w:fldCharType="end"/>
            </w:r>
          </w:hyperlink>
        </w:p>
        <w:p>
          <w:pPr>
            <w:pStyle w:val="11"/>
            <w:ind w:left="360"/>
            <w:tabs>
              <w:tab w:val="right" w:leader="dot" w:pos="9026"/>
            </w:tabs>
            <w:spacing w:before="120" w:after="60"/>
          </w:pPr>
          <w:hyperlink w:anchor="_Toc100024" w:history="1">
            <w:r>
              <w:rPr>
                <w:rStyle w:val="Hyperlink"/>
              </w:rPr>
              <w:t>7.5  After the visit</w:t>
            </w:r>
            <w:r>
              <w:tab/>
            </w:r>
            <w:r>
              <w:fldChar w:fldCharType="begin"/>
            </w:r>
            <w:r>
              <w:instrText xml:space="preserve"> PAGEREF _Toc100024 \h </w:instrText>
            </w:r>
            <w:r>
              <w:fldChar w:fldCharType="separate"/>
            </w:r>
            <w:r>
              <w:t>9</w:t>
            </w:r>
            <w:r>
              <w:fldChar w:fldCharType="end"/>
            </w:r>
          </w:hyperlink>
        </w:p>
        <w:p>
          <w:pPr>
            <w:pStyle w:val="9"/>
            <w:tabs>
              <w:tab w:val="right" w:leader="dot" w:pos="9026"/>
            </w:tabs>
            <w:spacing w:before="120" w:after="60"/>
          </w:pPr>
          <w:hyperlink w:anchor="_Toc100025" w:history="1">
            <w:r>
              <w:rPr>
                <w:rStyle w:val="Hyperlink"/>
              </w:rPr>
              <w:t>8  MVP Slice Definition Worksheet</w:t>
            </w:r>
            <w:r>
              <w:tab/>
            </w:r>
            <w:r>
              <w:fldChar w:fldCharType="begin"/>
            </w:r>
            <w:r>
              <w:instrText xml:space="preserve"> PAGEREF _Toc100025 \h </w:instrText>
            </w:r>
            <w:r>
              <w:fldChar w:fldCharType="separate"/>
            </w:r>
            <w:r>
              <w:t>10</w:t>
            </w:r>
            <w:r>
              <w:fldChar w:fldCharType="end"/>
            </w:r>
          </w:hyperlink>
        </w:p>
        <w:p>
          <w:pPr>
            <w:pStyle w:val="11"/>
            <w:ind w:left="360"/>
            <w:tabs>
              <w:tab w:val="right" w:leader="dot" w:pos="9026"/>
            </w:tabs>
            <w:spacing w:before="120" w:after="60"/>
          </w:pPr>
          <w:hyperlink w:anchor="_Toc100026" w:history="1">
            <w:r>
              <w:rPr>
                <w:rStyle w:val="Hyperlink"/>
              </w:rPr>
              <w:t>8.1  Selection criteria</w:t>
            </w:r>
            <w:r>
              <w:tab/>
            </w:r>
            <w:r>
              <w:fldChar w:fldCharType="begin"/>
            </w:r>
            <w:r>
              <w:instrText xml:space="preserve"> PAGEREF _Toc100026 \h </w:instrText>
            </w:r>
            <w:r>
              <w:fldChar w:fldCharType="separate"/>
            </w:r>
            <w:r>
              <w:t>10</w:t>
            </w:r>
            <w:r>
              <w:fldChar w:fldCharType="end"/>
            </w:r>
          </w:hyperlink>
        </w:p>
        <w:p>
          <w:pPr>
            <w:pStyle w:val="11"/>
            <w:ind w:left="360"/>
            <w:tabs>
              <w:tab w:val="right" w:leader="dot" w:pos="9026"/>
            </w:tabs>
            <w:spacing w:before="120" w:after="60"/>
          </w:pPr>
          <w:hyperlink w:anchor="_Toc100027" w:history="1">
            <w:r>
              <w:rPr>
                <w:rStyle w:val="Hyperlink"/>
              </w:rPr>
              <w:t>8.2  Candidate slices</w:t>
            </w:r>
            <w:r>
              <w:tab/>
            </w:r>
            <w:r>
              <w:fldChar w:fldCharType="begin"/>
            </w:r>
            <w:r>
              <w:instrText xml:space="preserve"> PAGEREF _Toc100027 \h </w:instrText>
            </w:r>
            <w:r>
              <w:fldChar w:fldCharType="separate"/>
            </w:r>
            <w:r>
              <w:t>11</w:t>
            </w:r>
            <w:r>
              <w:fldChar w:fldCharType="end"/>
            </w:r>
          </w:hyperlink>
        </w:p>
        <w:p>
          <w:pPr>
            <w:pStyle w:val="11"/>
            <w:ind w:left="360"/>
            <w:tabs>
              <w:tab w:val="right" w:leader="dot" w:pos="9026"/>
            </w:tabs>
            <w:spacing w:before="120" w:after="60"/>
          </w:pPr>
          <w:hyperlink w:anchor="_Toc100028" w:history="1">
            <w:r>
              <w:rPr>
                <w:rStyle w:val="Hyperlink"/>
              </w:rPr>
              <w:t>8.3  Technical rubric</w:t>
            </w:r>
            <w:r>
              <w:tab/>
            </w:r>
            <w:r>
              <w:fldChar w:fldCharType="begin"/>
            </w:r>
            <w:r>
              <w:instrText xml:space="preserve"> PAGEREF _Toc100028 \h </w:instrText>
            </w:r>
            <w:r>
              <w:fldChar w:fldCharType="separate"/>
            </w:r>
            <w:r>
              <w:t>11</w:t>
            </w:r>
            <w:r>
              <w:fldChar w:fldCharType="end"/>
            </w:r>
          </w:hyperlink>
        </w:p>
        <w:p>
          <w:pPr>
            <w:pStyle w:val="9"/>
            <w:tabs>
              <w:tab w:val="right" w:leader="dot" w:pos="9026"/>
            </w:tabs>
            <w:spacing w:before="120" w:after="60"/>
          </w:pPr>
          <w:hyperlink w:anchor="_Toc100029" w:history="1">
            <w:r>
              <w:rPr>
                <w:rStyle w:val="Hyperlink"/>
              </w:rPr>
              <w:t>9  Deal Structure and Spike Pricing</w:t>
            </w:r>
            <w:r>
              <w:tab/>
            </w:r>
            <w:r>
              <w:fldChar w:fldCharType="begin"/>
            </w:r>
            <w:r>
              <w:instrText xml:space="preserve"> PAGEREF _Toc100029 \h </w:instrText>
            </w:r>
            <w:r>
              <w:fldChar w:fldCharType="separate"/>
            </w:r>
            <w:r>
              <w:t>11</w:t>
            </w:r>
            <w:r>
              <w:fldChar w:fldCharType="end"/>
            </w:r>
          </w:hyperlink>
        </w:p>
        <w:p>
          <w:pPr>
            <w:pStyle w:val="11"/>
            <w:ind w:left="360"/>
            <w:tabs>
              <w:tab w:val="right" w:leader="dot" w:pos="9026"/>
            </w:tabs>
            <w:spacing w:before="120" w:after="60"/>
          </w:pPr>
          <w:hyperlink w:anchor="_Toc100030" w:history="1">
            <w:r>
              <w:rPr>
                <w:rStyle w:val="Hyperlink"/>
              </w:rPr>
              <w:t>9.1  Scoring worksheet (DEC-001)</w:t>
            </w:r>
            <w:r>
              <w:tab/>
            </w:r>
            <w:r>
              <w:fldChar w:fldCharType="begin"/>
            </w:r>
            <w:r>
              <w:instrText xml:space="preserve"> PAGEREF _Toc100030 \h </w:instrText>
            </w:r>
            <w:r>
              <w:fldChar w:fldCharType="separate"/>
            </w:r>
            <w:r>
              <w:t>11</w:t>
            </w:r>
            <w:r>
              <w:fldChar w:fldCharType="end"/>
            </w:r>
          </w:hyperlink>
        </w:p>
        <w:p>
          <w:pPr>
            <w:pStyle w:val="11"/>
            <w:ind w:left="360"/>
            <w:tabs>
              <w:tab w:val="right" w:leader="dot" w:pos="9026"/>
            </w:tabs>
            <w:spacing w:before="120" w:after="60"/>
          </w:pPr>
          <w:hyperlink w:anchor="_Toc100031" w:history="1">
            <w:r>
              <w:rPr>
                <w:rStyle w:val="Hyperlink"/>
              </w:rPr>
              <w:t>9.2  Spike pricing guide</w:t>
            </w:r>
            <w:r>
              <w:tab/>
            </w:r>
            <w:r>
              <w:fldChar w:fldCharType="begin"/>
            </w:r>
            <w:r>
              <w:instrText xml:space="preserve"> PAGEREF _Toc100031 \h </w:instrText>
            </w:r>
            <w:r>
              <w:fldChar w:fldCharType="separate"/>
            </w:r>
            <w:r>
              <w:t>12</w:t>
            </w:r>
            <w:r>
              <w:fldChar w:fldCharType="end"/>
            </w:r>
          </w:hyperlink>
        </w:p>
        <w:p>
          <w:pPr>
            <w:pStyle w:val="11"/>
            <w:ind w:left="360"/>
            <w:tabs>
              <w:tab w:val="right" w:leader="dot" w:pos="9026"/>
            </w:tabs>
            <w:spacing w:before="120" w:after="60"/>
          </w:pPr>
          <w:hyperlink w:anchor="_Toc100032" w:history="1">
            <w:r>
              <w:rPr>
                <w:rStyle w:val="Hyperlink"/>
              </w:rPr>
              <w:t>9.3  One-page term sheet (fill-in template)</w:t>
            </w:r>
            <w:r>
              <w:tab/>
            </w:r>
            <w:r>
              <w:fldChar w:fldCharType="begin"/>
            </w:r>
            <w:r>
              <w:instrText xml:space="preserve"> PAGEREF _Toc100032 \h </w:instrText>
            </w:r>
            <w:r>
              <w:fldChar w:fldCharType="separate"/>
            </w:r>
            <w:r>
              <w:t>12</w:t>
            </w:r>
            <w:r>
              <w:fldChar w:fldCharType="end"/>
            </w:r>
          </w:hyperlink>
        </w:p>
        <w:p>
          <w:pPr>
            <w:pStyle w:val="9"/>
            <w:tabs>
              <w:tab w:val="right" w:leader="dot" w:pos="9026"/>
            </w:tabs>
            <w:spacing w:before="120" w:after="60"/>
          </w:pPr>
          <w:hyperlink w:anchor="_Toc100033" w:history="1">
            <w:r>
              <w:rPr>
                <w:rStyle w:val="Hyperlink"/>
              </w:rPr>
              <w:t>10  Hours Tracker and Decision Log</w:t>
            </w:r>
            <w:r>
              <w:tab/>
            </w:r>
            <w:r>
              <w:fldChar w:fldCharType="begin"/>
            </w:r>
            <w:r>
              <w:instrText xml:space="preserve"> PAGEREF _Toc100033 \h </w:instrText>
            </w:r>
            <w:r>
              <w:fldChar w:fldCharType="separate"/>
            </w:r>
            <w:r>
              <w:t>12</w:t>
            </w:r>
            <w:r>
              <w:fldChar w:fldCharType="end"/>
            </w:r>
          </w:hyperlink>
        </w:p>
        <w:p>
          <w:pPr>
            <w:pStyle w:val="11"/>
            <w:ind w:left="360"/>
            <w:tabs>
              <w:tab w:val="right" w:leader="dot" w:pos="9026"/>
            </w:tabs>
            <w:spacing w:before="120" w:after="60"/>
          </w:pPr>
          <w:hyperlink w:anchor="_Toc100034" w:history="1">
            <w:r>
              <w:rPr>
                <w:rStyle w:val="Hyperlink"/>
              </w:rPr>
              <w:t>10.1  Unstructured hours cap (20 h)</w:t>
            </w:r>
            <w:r>
              <w:tab/>
            </w:r>
            <w:r>
              <w:fldChar w:fldCharType="begin"/>
            </w:r>
            <w:r>
              <w:instrText xml:space="preserve"> PAGEREF _Toc100034 \h </w:instrText>
            </w:r>
            <w:r>
              <w:fldChar w:fldCharType="separate"/>
            </w:r>
            <w:r>
              <w:t>12</w:t>
            </w:r>
            <w:r>
              <w:fldChar w:fldCharType="end"/>
            </w:r>
          </w:hyperlink>
        </w:p>
        <w:p>
          <w:pPr>
            <w:pStyle w:val="11"/>
            <w:ind w:left="360"/>
            <w:tabs>
              <w:tab w:val="right" w:leader="dot" w:pos="9026"/>
            </w:tabs>
            <w:spacing w:before="120" w:after="60"/>
          </w:pPr>
          <w:hyperlink w:anchor="_Toc100035" w:history="1">
            <w:r>
              <w:rPr>
                <w:rStyle w:val="Hyperlink"/>
              </w:rPr>
              <w:t>10.2  Decision log</w:t>
            </w:r>
            <w:r>
              <w:tab/>
            </w:r>
            <w:r>
              <w:fldChar w:fldCharType="begin"/>
            </w:r>
            <w:r>
              <w:instrText xml:space="preserve"> PAGEREF _Toc100035 \h </w:instrText>
            </w:r>
            <w:r>
              <w:fldChar w:fldCharType="separate"/>
            </w:r>
            <w:r>
              <w:t>13</w:t>
            </w:r>
            <w:r>
              <w:fldChar w:fldCharType="end"/>
            </w:r>
          </w:hyperlink>
        </w:p>
        <w:p>
          <w:pPr>
            <w:pStyle w:val="9"/>
            <w:tabs>
              <w:tab w:val="right" w:leader="dot" w:pos="9026"/>
            </w:tabs>
            <w:spacing w:before="120" w:after="60"/>
          </w:pPr>
          <w:hyperlink w:anchor="_Toc100036" w:history="1">
            <w:r>
              <w:rPr>
                <w:rStyle w:val="Hyperlink"/>
              </w:rPr>
              <w:t>11  Risks and Mitigations</w:t>
            </w:r>
            <w:r>
              <w:tab/>
            </w:r>
            <w:r>
              <w:fldChar w:fldCharType="begin"/>
            </w:r>
            <w:r>
              <w:instrText xml:space="preserve"> PAGEREF _Toc100036 \h </w:instrText>
            </w:r>
            <w:r>
              <w:fldChar w:fldCharType="separate"/>
            </w:r>
            <w:r>
              <w:t>13</w:t>
            </w:r>
            <w:r>
              <w:fldChar w:fldCharType="end"/>
            </w:r>
          </w:hyperlink>
        </w:p>
        <w:p>
          <w:pPr>
            <w:pStyle w:val="9"/>
            <w:tabs>
              <w:tab w:val="right" w:leader="dot" w:pos="9026"/>
            </w:tabs>
            <w:spacing w:before="120" w:after="60"/>
          </w:pPr>
          <w:hyperlink w:anchor="_Toc100037" w:history="1">
            <w:r>
              <w:rPr>
                <w:rStyle w:val="Hyperlink"/>
              </w:rPr>
              <w:t>12  Reference</w:t>
            </w:r>
            <w:r>
              <w:tab/>
            </w:r>
            <w:r>
              <w:fldChar w:fldCharType="begin"/>
            </w:r>
            <w:r>
              <w:instrText xml:space="preserve"> PAGEREF _Toc100037 \h </w:instrText>
            </w:r>
            <w:r>
              <w:fldChar w:fldCharType="separate"/>
            </w:r>
            <w:r>
              <w:t>13</w:t>
            </w:r>
            <w:r>
              <w:fldChar w:fldCharType="end"/>
            </w:r>
          </w:hyperlink>
        </w:p>
        <w:p>
          <w:r>
            <w:fldChar w:fldCharType="end"/>
          </w:r>
        </w:p>
      </w:sdtContent>
    </w:sdt>
    <w:p>
      <w:pPr>
        <w:spacing w:before="200"/>
      </w:pPr>
      <w:r>
        <w:rPr>
          <w:rFonts w:ascii="Times New Roman" w:eastAsia="SimSun"/>
          <w:i/>
          <w:iCs/>
          <w:color w:val="888888"/>
          <w:sz w:val="18"/>
          <w:szCs w:val="18"/>
        </w:rPr>
        <w:t xml:space="preserve">Note: this table of contents is generated via field codes. After editing the document, right-click the table and choose "Update Field" to refresh page numbers.</w:t>
      </w:r>
    </w:p>
    <w:p>
      <w:pPr>
        <w:sectPr>
          <w:footerReference w:type="default" r:id="rId7"/>
          <w:type w:val="nextPage"/>
          <w:pgSz w:w="11906" w:h="16838" w:orient="portrait"/>
          <w:pgMar w:top="1440" w:right="1417" w:bottom="1440" w:left="1701" w:header="708" w:footer="708" w:gutter="0"/>
          <w:pgNumType w:start="1" w:fmt="upperRoman"/>
          <w:docGrid w:linePitch="360"/>
        </w:sectPr>
      </w:pPr>
    </w:p>
    <w:p>
      <w:pPr>
        <w:pStyle w:val="Heading1"/>
        <w:spacing w:after="200" w:before="400" w:line="312"/>
        <w:jc w:val="center"/>
      </w:pPr>
      <w:bookmarkStart w:id="100000" w:name="_Toc100000"/>
      <w:r>
        <w:rPr>
          <w:rFonts w:ascii="Times New Roman" w:eastAsia="SimSun"/>
          <w:b/>
          <w:bCs/>
          <w:color w:val="1A2330"/>
          <w:sz w:val="32"/>
          <w:szCs w:val="32"/>
        </w:rPr>
        <w:t xml:space="preserve">1  Executive Summary</w:t>
      </w:r>
      <w:bookmarkEnd w:id="100000"/>
    </w:p>
    <w:p>
      <w:pPr>
        <w:spacing w:after="140" w:line="312"/>
        <w:jc w:val="left"/>
      </w:pPr>
      <w:r>
        <w:rPr>
          <w:rFonts w:ascii="Times New Roman" w:eastAsia="SimSun"/>
          <w:b w:val="false"/>
          <w:bCs w:val="false"/>
          <w:i w:val="false"/>
          <w:iCs w:val="false"/>
          <w:color w:val="000000"/>
          <w:sz w:val="24"/>
          <w:szCs w:val="24"/>
        </w:rPr>
        <w:t xml:space="preserve">This document is the working plan for the Mario Software engagement: a partnership opportunity in which Zaid Al Dabbag would help Mario build AI-assisted 3D modelling tools from 2D drawings, together with the reporting system built on Mario's process-mapping methodology. It is designed to be carried to Mario's computer next week and worked on directly: it contains the export checklist for the two private framework documents, the agenda and capture sheet for the scope conversation, the deal-structure decision pack with a fill-in term sheet, the MVP slice worksheet, and the hours tracker that enforces the 20-hour cap.</w:t>
      </w:r>
    </w:p>
    <w:p>
      <w:pPr>
        <w:spacing w:after="140" w:line="312"/>
        <w:jc w:val="left"/>
      </w:pPr>
      <w:r>
        <w:rPr>
          <w:rFonts w:ascii="Times New Roman" w:eastAsia="SimSun"/>
          <w:b w:val="false"/>
          <w:bCs w:val="false"/>
          <w:i w:val="false"/>
          <w:iCs w:val="false"/>
          <w:color w:val="000000"/>
          <w:sz w:val="24"/>
          <w:szCs w:val="24"/>
        </w:rPr>
        <w:t xml:space="preserve">The engagement is currently blocked on inputs. The substance of the opportunity - target user, domain, drawing types, pipeline ambition and funding - lives inside two private Google Docs that have not yet been read, and no deal structure has been agreed. Every hour contributed before a written structure is unpriced. For that reason the strategy of this plan is strict sequencing: read the documents, hold one scope conversation, write the deal structure down, define one narrow MVP slice, and only then sell a paid feasibility spike of five to twenty hours. Nothing is built before those five moves complete.</w:t>
      </w:r>
    </w:p>
    <w:p>
      <w:pPr>
        <w:spacing w:after="140" w:line="312"/>
        <w:jc w:val="left"/>
      </w:pPr>
      <w:r>
        <w:rPr>
          <w:rFonts w:ascii="Times New Roman" w:eastAsia="SimSun"/>
          <w:b w:val="false"/>
          <w:bCs w:val="false"/>
          <w:i w:val="false"/>
          <w:iCs w:val="false"/>
          <w:color w:val="000000"/>
          <w:sz w:val="24"/>
          <w:szCs w:val="24"/>
        </w:rPr>
        <w:t xml:space="preserve">Two dates govern the plan. The Concept-to-Validation gate falls due on 2026-10-03: if the documents are read, the conversation is held, the structure is written and the slice is defined by then, the engagement proceeds to validation. If they are not, the opportunity is parked without guilt - the idea keeps, the hours do not. The paid feasibility spike is then sold by 2026-10-31 (ACT-005), which converts the engagement from an open-ended favour into structured paid work and produces the evidence to price the real engagement.</w:t>
      </w:r>
    </w:p>
    <w:p>
      <w:pPr>
        <w:keepNext/>
        <w:spacing w:after="80" w:before="160" w:line="312"/>
      </w:pPr>
      <w:r>
        <w:rPr>
          <w:rFonts w:ascii="Times New Roman" w:eastAsia="SimSun"/>
          <w:b/>
          <w:bCs/>
          <w:color w:val="1A2330"/>
          <w:sz w:val="21"/>
          <w:szCs w:val="21"/>
        </w:rPr>
        <w:t xml:space="preserve">Table 1 - Decision rules (pre-committed, from the portfolio record)</w:t>
      </w:r>
    </w:p>
    <w:tbl>
      <w:tblPr>
        <w:tblW w:type="pct" w:w="100%"/>
        <w:tblBorders>
          <w:top w:val="single" w:color="D4875A" w:sz="4"/>
          <w:left w:val="none"/>
          <w:bottom w:val="single" w:color="D4875A" w:sz="4"/>
          <w:right w:val="none"/>
          <w:insideH w:val="single" w:color="DDD0C8" w:sz="1"/>
          <w:insideV w:val="none"/>
        </w:tblBorders>
      </w:tblPr>
      <w:tblGrid>
        <w:gridCol w:w="100"/>
        <w:gridCol w:w="100"/>
      </w:tblGrid>
      <w:tr>
        <w:trPr>
          <w:cantSplit/>
          <w:tblHeader/>
        </w:trPr>
        <w:tc>
          <w:tcPr>
            <w:tcW w:type="pct" w:w="22%"/>
            <w:shd w:fill="D4875A" w:val="clear"/>
            <w:tcMar>
              <w:top w:type="dxa" w:w="70"/>
              <w:left w:type="dxa" w:w="110"/>
              <w:bottom w:type="dxa" w:w="70"/>
              <w:right w:type="dxa" w:w="110"/>
            </w:tcMar>
          </w:tcPr>
          <w:p>
            <w:pPr>
              <w:spacing w:line="276"/>
            </w:pPr>
            <w:r>
              <w:rPr>
                <w:rFonts w:ascii="Times New Roman" w:eastAsia="SimSun"/>
                <w:b/>
                <w:bCs/>
                <w:color w:val="FFFFFF"/>
                <w:sz w:val="20"/>
                <w:szCs w:val="20"/>
              </w:rPr>
              <w:t xml:space="preserve">Rule</w:t>
            </w:r>
          </w:p>
        </w:tc>
        <w:tc>
          <w:tcPr>
            <w:tcW w:type="pct" w:w="78%"/>
            <w:shd w:fill="D4875A" w:val="clear"/>
            <w:tcMar>
              <w:top w:type="dxa" w:w="70"/>
              <w:left w:type="dxa" w:w="110"/>
              <w:bottom w:type="dxa" w:w="70"/>
              <w:right w:type="dxa" w:w="110"/>
            </w:tcMar>
          </w:tcPr>
          <w:p>
            <w:pPr>
              <w:spacing w:line="276"/>
            </w:pPr>
            <w:r>
              <w:rPr>
                <w:rFonts w:ascii="Times New Roman" w:eastAsia="SimSun"/>
                <w:b/>
                <w:bCs/>
                <w:color w:val="FFFFFF"/>
                <w:sz w:val="20"/>
                <w:szCs w:val="20"/>
              </w:rPr>
              <w:t xml:space="preserve">Trigger</w:t>
            </w:r>
          </w:p>
        </w:tc>
      </w:tr>
      <w:tr>
        <w:trPr>
          <w:cantSplit/>
        </w:trPr>
        <w:tc>
          <w:tcPr>
            <w:tcW w:type="pct" w:w="22%"/>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Proceed when</w:t>
            </w:r>
          </w:p>
        </w:tc>
        <w:tc>
          <w:tcPr>
            <w:tcW w:type="pct" w:w="78%"/>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Documents read, scope conversation held, written deal structure and a funded spike agreed - then treat as an active build bet.</w:t>
            </w:r>
          </w:p>
        </w:tc>
      </w:tr>
      <w:tr>
        <w:trPr>
          <w:cantSplit/>
        </w:trPr>
        <w:tc>
          <w:tcPr>
            <w:tcW w:type="pct" w:w="22%"/>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Park when</w:t>
            </w:r>
          </w:p>
        </w:tc>
        <w:tc>
          <w:tcPr>
            <w:tcW w:type="pct" w:w="78%"/>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No documents or structure agreement by 2026-10-03 - park explicitly; the idea keeps, the hours do not.</w:t>
            </w:r>
          </w:p>
        </w:tc>
      </w:tr>
      <w:tr>
        <w:trPr>
          <w:cantSplit/>
        </w:trPr>
        <w:tc>
          <w:tcPr>
            <w:tcW w:type="pct" w:w="22%"/>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Kill when</w:t>
            </w:r>
          </w:p>
        </w:tc>
        <w:tc>
          <w:tcPr>
            <w:tcW w:type="pct" w:w="78%"/>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The documents reveal research-grade ambition with no funding, or IP terms are unacceptable.</w:t>
            </w:r>
          </w:p>
        </w:tc>
      </w:tr>
    </w:tbl>
    <w:p>
      <w:pPr>
        <w:pStyle w:val="Heading1"/>
        <w:spacing w:after="200" w:before="400" w:line="312"/>
        <w:jc w:val="center"/>
      </w:pPr>
      <w:bookmarkStart w:id="100001" w:name="_Toc100001"/>
      <w:r>
        <w:rPr>
          <w:rFonts w:ascii="Times New Roman" w:eastAsia="SimSun"/>
          <w:b/>
          <w:bCs/>
          <w:color w:val="1A2330"/>
          <w:sz w:val="32"/>
          <w:szCs w:val="32"/>
        </w:rPr>
        <w:t xml:space="preserve">2  Objectives and Success Criteria</w:t>
      </w:r>
      <w:bookmarkEnd w:id="100001"/>
    </w:p>
    <w:p>
      <w:pPr>
        <w:spacing w:after="140" w:line="312"/>
        <w:jc w:val="left"/>
      </w:pPr>
      <w:r>
        <w:rPr>
          <w:rFonts w:ascii="Times New Roman" w:eastAsia="SimSun"/>
          <w:b w:val="false"/>
          <w:bCs w:val="false"/>
          <w:i w:val="false"/>
          <w:iCs w:val="false"/>
          <w:color w:val="000000"/>
          <w:sz w:val="24"/>
          <w:szCs w:val="24"/>
        </w:rPr>
        <w:t xml:space="preserve">The objectives below are carried from the portfolio record (OBJ-1 to OBJ-5). Each has a measurable exit condition; together they define what must be true for the Concept-to-Validation gate to pass.</w:t>
      </w:r>
    </w:p>
    <w:p>
      <w:pPr>
        <w:keepNext/>
        <w:spacing w:after="80" w:before="160" w:line="312"/>
      </w:pPr>
      <w:r>
        <w:rPr>
          <w:rFonts w:ascii="Times New Roman" w:eastAsia="SimSun"/>
          <w:b/>
          <w:bCs/>
          <w:color w:val="1A2330"/>
          <w:sz w:val="21"/>
          <w:szCs w:val="21"/>
        </w:rPr>
        <w:t xml:space="preserve">Table 2 - Objectives and measures</w:t>
      </w:r>
    </w:p>
    <w:tbl>
      <w:tblPr>
        <w:tblW w:type="pct" w:w="100%"/>
        <w:tblBorders>
          <w:top w:val="single" w:color="D4875A" w:sz="4"/>
          <w:left w:val="none"/>
          <w:bottom w:val="single" w:color="D4875A" w:sz="4"/>
          <w:right w:val="none"/>
          <w:insideH w:val="single" w:color="DDD0C8" w:sz="1"/>
          <w:insideV w:val="none"/>
        </w:tblBorders>
      </w:tblPr>
      <w:tblGrid>
        <w:gridCol w:w="100"/>
        <w:gridCol w:w="100"/>
        <w:gridCol w:w="100"/>
        <w:gridCol w:w="100"/>
      </w:tblGrid>
      <w:tr>
        <w:trPr>
          <w:cantSplit/>
          <w:tblHeader/>
        </w:trPr>
        <w:tc>
          <w:tcPr>
            <w:tcW w:type="pct" w:w="10%"/>
            <w:shd w:fill="D4875A" w:val="clear"/>
            <w:tcMar>
              <w:top w:type="dxa" w:w="70"/>
              <w:left w:type="dxa" w:w="110"/>
              <w:bottom w:type="dxa" w:w="70"/>
              <w:right w:type="dxa" w:w="110"/>
            </w:tcMar>
          </w:tcPr>
          <w:p>
            <w:pPr>
              <w:spacing w:line="276"/>
            </w:pPr>
            <w:r>
              <w:rPr>
                <w:rFonts w:ascii="Times New Roman" w:eastAsia="SimSun"/>
                <w:b/>
                <w:bCs/>
                <w:color w:val="FFFFFF"/>
                <w:sz w:val="20"/>
                <w:szCs w:val="20"/>
              </w:rPr>
              <w:t xml:space="preserve">ID</w:t>
            </w:r>
          </w:p>
        </w:tc>
        <w:tc>
          <w:tcPr>
            <w:tcW w:type="pct" w:w="33%"/>
            <w:shd w:fill="D4875A" w:val="clear"/>
            <w:tcMar>
              <w:top w:type="dxa" w:w="70"/>
              <w:left w:type="dxa" w:w="110"/>
              <w:bottom w:type="dxa" w:w="70"/>
              <w:right w:type="dxa" w:w="110"/>
            </w:tcMar>
          </w:tcPr>
          <w:p>
            <w:pPr>
              <w:spacing w:line="276"/>
            </w:pPr>
            <w:r>
              <w:rPr>
                <w:rFonts w:ascii="Times New Roman" w:eastAsia="SimSun"/>
                <w:b/>
                <w:bCs/>
                <w:color w:val="FFFFFF"/>
                <w:sz w:val="20"/>
                <w:szCs w:val="20"/>
              </w:rPr>
              <w:t xml:space="preserve">Objective</w:t>
            </w:r>
          </w:p>
        </w:tc>
        <w:tc>
          <w:tcPr>
            <w:tcW w:type="pct" w:w="42%"/>
            <w:shd w:fill="D4875A" w:val="clear"/>
            <w:tcMar>
              <w:top w:type="dxa" w:w="70"/>
              <w:left w:type="dxa" w:w="110"/>
              <w:bottom w:type="dxa" w:w="70"/>
              <w:right w:type="dxa" w:w="110"/>
            </w:tcMar>
          </w:tcPr>
          <w:p>
            <w:pPr>
              <w:spacing w:line="276"/>
            </w:pPr>
            <w:r>
              <w:rPr>
                <w:rFonts w:ascii="Times New Roman" w:eastAsia="SimSun"/>
                <w:b/>
                <w:bCs/>
                <w:color w:val="FFFFFF"/>
                <w:sz w:val="20"/>
                <w:szCs w:val="20"/>
              </w:rPr>
              <w:t xml:space="preserve">Measure of success</w:t>
            </w:r>
          </w:p>
        </w:tc>
        <w:tc>
          <w:tcPr>
            <w:tcW w:type="pct" w:w="15%"/>
            <w:shd w:fill="D4875A" w:val="clear"/>
            <w:tcMar>
              <w:top w:type="dxa" w:w="70"/>
              <w:left w:type="dxa" w:w="110"/>
              <w:bottom w:type="dxa" w:w="70"/>
              <w:right w:type="dxa" w:w="110"/>
            </w:tcMar>
          </w:tcPr>
          <w:p>
            <w:pPr>
              <w:spacing w:line="276"/>
            </w:pPr>
            <w:r>
              <w:rPr>
                <w:rFonts w:ascii="Times New Roman" w:eastAsia="SimSun"/>
                <w:b/>
                <w:bCs/>
                <w:color w:val="FFFFFF"/>
                <w:sz w:val="20"/>
                <w:szCs w:val="20"/>
              </w:rPr>
              <w:t xml:space="preserve">Status</w:t>
            </w:r>
          </w:p>
        </w:tc>
      </w:tr>
      <w:tr>
        <w:trPr>
          <w:cantSplit/>
        </w:trPr>
        <w:tc>
          <w:tcPr>
            <w:tcW w:type="pct" w:w="10%"/>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OBJ-1</w:t>
            </w:r>
          </w:p>
        </w:tc>
        <w:tc>
          <w:tcPr>
            <w:tcW w:type="pct" w:w="33%"/>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Obtain and read both framework documents</w:t>
            </w:r>
          </w:p>
        </w:tc>
        <w:tc>
          <w:tcPr>
            <w:tcW w:type="pct" w:w="42%"/>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2 of 2 exported and read by 2026-09-26 (ACT-001)</w:t>
            </w:r>
          </w:p>
        </w:tc>
        <w:tc>
          <w:tcPr>
            <w:tcW w:type="pct" w:w="15%"/>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Planned</w:t>
            </w:r>
          </w:p>
        </w:tc>
      </w:tr>
      <w:tr>
        <w:trPr>
          <w:cantSplit/>
        </w:trPr>
        <w:tc>
          <w:tcPr>
            <w:tcW w:type="pct" w:w="10%"/>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OBJ-2</w:t>
            </w:r>
          </w:p>
        </w:tc>
        <w:tc>
          <w:tcPr>
            <w:tcW w:type="pct" w:w="33%"/>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Hold the 60-minute scope conversation</w:t>
            </w:r>
          </w:p>
        </w:tc>
        <w:tc>
          <w:tcPr>
            <w:tcW w:type="pct" w:w="42%"/>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User, drawing types, funding and expectations covered (ACT-002)</w:t>
            </w:r>
          </w:p>
        </w:tc>
        <w:tc>
          <w:tcPr>
            <w:tcW w:type="pct" w:w="15%"/>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Planned</w:t>
            </w:r>
          </w:p>
        </w:tc>
      </w:tr>
      <w:tr>
        <w:trPr>
          <w:cantSplit/>
        </w:trPr>
        <w:tc>
          <w:tcPr>
            <w:tcW w:type="pct" w:w="10%"/>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OBJ-3</w:t>
            </w:r>
          </w:p>
        </w:tc>
        <w:tc>
          <w:tcPr>
            <w:tcW w:type="pct" w:w="33%"/>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Agree and write down the deal structure</w:t>
            </w:r>
          </w:p>
        </w:tc>
        <w:tc>
          <w:tcPr>
            <w:tcW w:type="pct" w:w="42%"/>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Written paid-vs-partnership agreement (ACT-003 / DEC-001)</w:t>
            </w:r>
          </w:p>
        </w:tc>
        <w:tc>
          <w:tcPr>
            <w:tcW w:type="pct" w:w="15%"/>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Planned</w:t>
            </w:r>
          </w:p>
        </w:tc>
      </w:tr>
      <w:tr>
        <w:trPr>
          <w:cantSplit/>
        </w:trPr>
        <w:tc>
          <w:tcPr>
            <w:tcW w:type="pct" w:w="10%"/>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OBJ-4</w:t>
            </w:r>
          </w:p>
        </w:tc>
        <w:tc>
          <w:tcPr>
            <w:tcW w:type="pct" w:w="33%"/>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Define one narrow MVP slice</w:t>
            </w:r>
          </w:p>
        </w:tc>
        <w:tc>
          <w:tcPr>
            <w:tcW w:type="pct" w:w="42%"/>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One drawing family to one automated report, documented (ACT-004)</w:t>
            </w:r>
          </w:p>
        </w:tc>
        <w:tc>
          <w:tcPr>
            <w:tcW w:type="pct" w:w="15%"/>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Planned</w:t>
            </w:r>
          </w:p>
        </w:tc>
      </w:tr>
      <w:tr>
        <w:trPr>
          <w:cantSplit/>
        </w:trPr>
        <w:tc>
          <w:tcPr>
            <w:tcW w:type="pct" w:w="10%"/>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OBJ-5</w:t>
            </w:r>
          </w:p>
        </w:tc>
        <w:tc>
          <w:tcPr>
            <w:tcW w:type="pct" w:w="33%"/>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Stay inside the 20-hour unstructured cap</w:t>
            </w:r>
          </w:p>
        </w:tc>
        <w:tc>
          <w:tcPr>
            <w:tcW w:type="pct" w:w="42%"/>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Hours burned at or under 20 (currently 1 of 20)</w:t>
            </w:r>
          </w:p>
        </w:tc>
        <w:tc>
          <w:tcPr>
            <w:tcW w:type="pct" w:w="15%"/>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On track</w:t>
            </w:r>
          </w:p>
        </w:tc>
      </w:tr>
    </w:tbl>
    <w:p>
      <w:pPr>
        <w:spacing w:after="140" w:line="312"/>
        <w:jc w:val="left"/>
      </w:pPr>
      <w:r>
        <w:rPr>
          <w:rFonts w:ascii="Times New Roman" w:eastAsia="SimSun"/>
          <w:b w:val="false"/>
          <w:bCs w:val="false"/>
          <w:i w:val="false"/>
          <w:iCs w:val="false"/>
          <w:color w:val="000000"/>
          <w:sz w:val="24"/>
          <w:szCs w:val="24"/>
        </w:rPr>
        <w:t xml:space="preserve">The gate itself is binary. On 2026-10-03 the four gate criteria are checked: both documents read and the advisor re-assessment updated; the scope conversation held; the deal structure agreed in writing; and the MVP slice defined. A miss on any criterion that cannot be consciously deferred in writing is a park, not a slip.</w:t>
      </w:r>
    </w:p>
    <w:p>
      <w:pPr>
        <w:pStyle w:val="Heading1"/>
        <w:spacing w:after="200" w:before="400" w:line="312"/>
        <w:jc w:val="center"/>
      </w:pPr>
      <w:bookmarkStart w:id="100002" w:name="_Toc100002"/>
      <w:r>
        <w:rPr>
          <w:rFonts w:ascii="Times New Roman" w:eastAsia="SimSun"/>
          <w:b/>
          <w:bCs/>
          <w:color w:val="1A2330"/>
          <w:sz w:val="32"/>
          <w:szCs w:val="32"/>
        </w:rPr>
        <w:t xml:space="preserve">3  Constraints and Ground Rules</w:t>
      </w:r>
      <w:bookmarkEnd w:id="100002"/>
    </w:p>
    <w:p>
      <w:pPr>
        <w:spacing w:after="140" w:line="312"/>
        <w:jc w:val="left"/>
      </w:pPr>
      <w:r>
        <w:rPr>
          <w:rFonts w:ascii="Times New Roman" w:eastAsia="SimSun"/>
          <w:b w:val="false"/>
          <w:bCs w:val="false"/>
          <w:i w:val="false"/>
          <w:iCs w:val="false"/>
          <w:color w:val="000000"/>
          <w:sz w:val="24"/>
          <w:szCs w:val="24"/>
        </w:rPr>
        <w:t xml:space="preserve">Five constraints frame everything in this plan and should be treated as ground rules rather than preferences. They exist to keep the exposure of the engagement bounded while its evidence base is still incomplete.</w:t>
      </w:r>
    </w:p>
    <w:p>
      <w:pPr>
        <w:keepNext/>
        <w:spacing w:after="80" w:before="160" w:line="312"/>
      </w:pPr>
      <w:r>
        <w:rPr>
          <w:rFonts w:ascii="Times New Roman" w:eastAsia="SimSun"/>
          <w:b/>
          <w:bCs/>
          <w:color w:val="1A2330"/>
          <w:sz w:val="21"/>
          <w:szCs w:val="21"/>
        </w:rPr>
        <w:t xml:space="preserve">Table 3 - Standing constraints</w:t>
      </w:r>
    </w:p>
    <w:tbl>
      <w:tblPr>
        <w:tblW w:type="pct" w:w="100%"/>
        <w:tblBorders>
          <w:top w:val="single" w:color="D4875A" w:sz="4"/>
          <w:left w:val="none"/>
          <w:bottom w:val="single" w:color="D4875A" w:sz="4"/>
          <w:right w:val="none"/>
          <w:insideH w:val="single" w:color="DDD0C8" w:sz="1"/>
          <w:insideV w:val="none"/>
        </w:tblBorders>
      </w:tblPr>
      <w:tblGrid>
        <w:gridCol w:w="100"/>
        <w:gridCol w:w="100"/>
      </w:tblGrid>
      <w:tr>
        <w:trPr>
          <w:cantSplit/>
          <w:tblHeader/>
        </w:trPr>
        <w:tc>
          <w:tcPr>
            <w:tcW w:type="pct" w:w="24%"/>
            <w:shd w:fill="D4875A" w:val="clear"/>
            <w:tcMar>
              <w:top w:type="dxa" w:w="70"/>
              <w:left w:type="dxa" w:w="110"/>
              <w:bottom w:type="dxa" w:w="70"/>
              <w:right w:type="dxa" w:w="110"/>
            </w:tcMar>
          </w:tcPr>
          <w:p>
            <w:pPr>
              <w:spacing w:line="276"/>
            </w:pPr>
            <w:r>
              <w:rPr>
                <w:rFonts w:ascii="Times New Roman" w:eastAsia="SimSun"/>
                <w:b/>
                <w:bCs/>
                <w:color w:val="FFFFFF"/>
                <w:sz w:val="20"/>
                <w:szCs w:val="20"/>
              </w:rPr>
              <w:t xml:space="preserve">Constraint</w:t>
            </w:r>
          </w:p>
        </w:tc>
        <w:tc>
          <w:tcPr>
            <w:tcW w:type="pct" w:w="76%"/>
            <w:shd w:fill="D4875A" w:val="clear"/>
            <w:tcMar>
              <w:top w:type="dxa" w:w="70"/>
              <w:left w:type="dxa" w:w="110"/>
              <w:bottom w:type="dxa" w:w="70"/>
              <w:right w:type="dxa" w:w="110"/>
            </w:tcMar>
          </w:tcPr>
          <w:p>
            <w:pPr>
              <w:spacing w:line="276"/>
            </w:pPr>
            <w:r>
              <w:rPr>
                <w:rFonts w:ascii="Times New Roman" w:eastAsia="SimSun"/>
                <w:b/>
                <w:bCs/>
                <w:color w:val="FFFFFF"/>
                <w:sz w:val="20"/>
                <w:szCs w:val="20"/>
              </w:rPr>
              <w:t xml:space="preserve">Detail</w:t>
            </w:r>
          </w:p>
        </w:tc>
      </w:tr>
      <w:tr>
        <w:trPr>
          <w:cantSplit/>
        </w:trPr>
        <w:tc>
          <w:tcPr>
            <w:tcW w:type="pct" w:w="24%"/>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Hard hours cap</w:t>
            </w:r>
          </w:p>
        </w:tc>
        <w:tc>
          <w:tcPr>
            <w:tcW w:type="pct" w:w="76%"/>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A maximum of 20 unstructured founder hours before the deal structure is agreed in writing. One hour has been used to date. Track every hour in Section 10.</w:t>
            </w:r>
          </w:p>
        </w:tc>
      </w:tr>
      <w:tr>
        <w:trPr>
          <w:cantSplit/>
        </w:trPr>
        <w:tc>
          <w:tcPr>
            <w:tcW w:type="pct" w:w="24%"/>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Zero cash</w:t>
            </w:r>
          </w:p>
        </w:tc>
        <w:tc>
          <w:tcPr>
            <w:tcW w:type="pct" w:w="76%"/>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No cash budget at this stage; work runs on the existing machine. Any hosting or model-API cost is quantified at spike scoping, not before.</w:t>
            </w:r>
          </w:p>
        </w:tc>
      </w:tr>
      <w:tr>
        <w:trPr>
          <w:cantSplit/>
        </w:trPr>
        <w:tc>
          <w:tcPr>
            <w:tcW w:type="pct" w:w="24%"/>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Portfolio priority</w:t>
            </w:r>
          </w:p>
        </w:tc>
        <w:tc>
          <w:tcPr>
            <w:tcW w:type="pct" w:w="76%"/>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Priority 2 of 6 in the portfolio, at roughly one to two hours per week until unblocked - the Mario hours compete with the NDIS decision actions.</w:t>
            </w:r>
          </w:p>
        </w:tc>
      </w:tr>
      <w:tr>
        <w:trPr>
          <w:cantSplit/>
        </w:trPr>
        <w:tc>
          <w:tcPr>
            <w:tcW w:type="pct" w:w="24%"/>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Documents are private</w:t>
            </w:r>
          </w:p>
        </w:tc>
        <w:tc>
          <w:tcPr>
            <w:tcW w:type="pct" w:w="76%"/>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The two framework documents are private Google Docs in Mario's Drive; they can only be exported by someone signed into that account - which is exactly what next week's visit makes possible.</w:t>
            </w:r>
          </w:p>
        </w:tc>
      </w:tr>
      <w:tr>
        <w:trPr>
          <w:cantSplit/>
        </w:trPr>
        <w:tc>
          <w:tcPr>
            <w:tcW w:type="pct" w:w="24%"/>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No build before writing</w:t>
            </w:r>
          </w:p>
        </w:tc>
        <w:tc>
          <w:tcPr>
            <w:tcW w:type="pct" w:w="76%"/>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No tooling is built and no IP-bearing code is written before the structure is signed. This is the single most important rule in the document.</w:t>
            </w:r>
          </w:p>
        </w:tc>
      </w:tr>
    </w:tbl>
    <w:p>
      <w:pPr>
        <w:pStyle w:val="Heading1"/>
        <w:spacing w:after="200" w:before="400" w:line="312"/>
        <w:jc w:val="center"/>
      </w:pPr>
      <w:bookmarkStart w:id="100003" w:name="_Toc100003"/>
      <w:r>
        <w:rPr>
          <w:rFonts w:ascii="Times New Roman" w:eastAsia="SimSun"/>
          <w:b/>
          <w:bCs/>
          <w:color w:val="1A2330"/>
          <w:sz w:val="32"/>
          <w:szCs w:val="32"/>
        </w:rPr>
        <w:t xml:space="preserve">4  Engagement Strategy</w:t>
      </w:r>
      <w:bookmarkEnd w:id="100003"/>
    </w:p>
    <w:p>
      <w:pPr>
        <w:pStyle w:val="Heading2"/>
        <w:spacing w:after="140" w:before="280" w:line="312"/>
      </w:pPr>
      <w:bookmarkStart w:id="100004" w:name="_Toc100004"/>
      <w:r>
        <w:rPr>
          <w:rFonts w:ascii="Times New Roman" w:eastAsia="SimSun"/>
          <w:b/>
          <w:bCs/>
          <w:color w:val="1A2330"/>
          <w:sz w:val="28"/>
          <w:szCs w:val="28"/>
        </w:rPr>
        <w:t xml:space="preserve">4.1  Deal structure options (DEC-001)</w:t>
      </w:r>
      <w:bookmarkEnd w:id="100004"/>
    </w:p>
    <w:p>
      <w:pPr>
        <w:spacing w:after="140" w:line="312"/>
        <w:jc w:val="left"/>
      </w:pPr>
      <w:r>
        <w:rPr>
          <w:rFonts w:ascii="Times New Roman" w:eastAsia="SimSun"/>
          <w:b w:val="false"/>
          <w:bCs w:val="false"/>
          <w:i w:val="false"/>
          <w:iCs w:val="false"/>
          <w:color w:val="000000"/>
          <w:sz w:val="24"/>
          <w:szCs w:val="24"/>
        </w:rPr>
        <w:t xml:space="preserve">Decision DEC-001 in the project register parks the structure choice until the documents are read and the scope conversation is held. The weights are already fixed - cash-flow now 0.30, upside 0.25, risk 0.30, relationship 0.15 - so the eventual scoring is an evidence fill-in, not a renegotiation. Three structures are in scope.</w:t>
      </w:r>
    </w:p>
    <w:p>
      <w:pPr>
        <w:keepNext/>
        <w:spacing w:after="80" w:before="160" w:line="312"/>
      </w:pPr>
      <w:r>
        <w:rPr>
          <w:rFonts w:ascii="Times New Roman" w:eastAsia="SimSun"/>
          <w:b/>
          <w:bCs/>
          <w:color w:val="1A2330"/>
          <w:sz w:val="21"/>
          <w:szCs w:val="21"/>
        </w:rPr>
        <w:t xml:space="preserve">Table 4 - Structure options at a glance</w:t>
      </w:r>
    </w:p>
    <w:tbl>
      <w:tblPr>
        <w:tblW w:type="pct" w:w="100%"/>
        <w:tblBorders>
          <w:top w:val="single" w:color="D4875A" w:sz="4"/>
          <w:left w:val="none"/>
          <w:bottom w:val="single" w:color="D4875A" w:sz="4"/>
          <w:right w:val="none"/>
          <w:insideH w:val="single" w:color="DDD0C8" w:sz="1"/>
          <w:insideV w:val="none"/>
        </w:tblBorders>
      </w:tblPr>
      <w:tblGrid>
        <w:gridCol w:w="100"/>
        <w:gridCol w:w="100"/>
        <w:gridCol w:w="100"/>
        <w:gridCol w:w="100"/>
        <w:gridCol w:w="100"/>
      </w:tblGrid>
      <w:tr>
        <w:trPr>
          <w:cantSplit/>
          <w:tblHeader/>
        </w:trPr>
        <w:tc>
          <w:tcPr>
            <w:tcW w:type="pct" w:w="16%"/>
            <w:shd w:fill="D4875A" w:val="clear"/>
            <w:tcMar>
              <w:top w:type="dxa" w:w="70"/>
              <w:left w:type="dxa" w:w="110"/>
              <w:bottom w:type="dxa" w:w="70"/>
              <w:right w:type="dxa" w:w="110"/>
            </w:tcMar>
          </w:tcPr>
          <w:p>
            <w:pPr>
              <w:spacing w:line="276"/>
            </w:pPr>
            <w:r>
              <w:rPr>
                <w:rFonts w:ascii="Times New Roman" w:eastAsia="SimSun"/>
                <w:b/>
                <w:bCs/>
                <w:color w:val="FFFFFF"/>
                <w:sz w:val="20"/>
                <w:szCs w:val="20"/>
              </w:rPr>
              <w:t xml:space="preserve">Option</w:t>
            </w:r>
          </w:p>
        </w:tc>
        <w:tc>
          <w:tcPr>
            <w:tcW w:type="pct" w:w="24%"/>
            <w:shd w:fill="D4875A" w:val="clear"/>
            <w:tcMar>
              <w:top w:type="dxa" w:w="70"/>
              <w:left w:type="dxa" w:w="110"/>
              <w:bottom w:type="dxa" w:w="70"/>
              <w:right w:type="dxa" w:w="110"/>
            </w:tcMar>
          </w:tcPr>
          <w:p>
            <w:pPr>
              <w:spacing w:line="276"/>
            </w:pPr>
            <w:r>
              <w:rPr>
                <w:rFonts w:ascii="Times New Roman" w:eastAsia="SimSun"/>
                <w:b/>
                <w:bCs/>
                <w:color w:val="FFFFFF"/>
                <w:sz w:val="20"/>
                <w:szCs w:val="20"/>
              </w:rPr>
              <w:t xml:space="preserve">Shape</w:t>
            </w:r>
          </w:p>
        </w:tc>
        <w:tc>
          <w:tcPr>
            <w:tcW w:type="pct" w:w="18%"/>
            <w:shd w:fill="D4875A" w:val="clear"/>
            <w:tcMar>
              <w:top w:type="dxa" w:w="70"/>
              <w:left w:type="dxa" w:w="110"/>
              <w:bottom w:type="dxa" w:w="70"/>
              <w:right w:type="dxa" w:w="110"/>
            </w:tcMar>
          </w:tcPr>
          <w:p>
            <w:pPr>
              <w:spacing w:line="276"/>
            </w:pPr>
            <w:r>
              <w:rPr>
                <w:rFonts w:ascii="Times New Roman" w:eastAsia="SimSun"/>
                <w:b/>
                <w:bCs/>
                <w:color w:val="FFFFFF"/>
                <w:sz w:val="20"/>
                <w:szCs w:val="20"/>
              </w:rPr>
              <w:t xml:space="preserve">Revenue</w:t>
            </w:r>
          </w:p>
        </w:tc>
        <w:tc>
          <w:tcPr>
            <w:tcW w:type="pct" w:w="18%"/>
            <w:shd w:fill="D4875A" w:val="clear"/>
            <w:tcMar>
              <w:top w:type="dxa" w:w="70"/>
              <w:left w:type="dxa" w:w="110"/>
              <w:bottom w:type="dxa" w:w="70"/>
              <w:right w:type="dxa" w:w="110"/>
            </w:tcMar>
          </w:tcPr>
          <w:p>
            <w:pPr>
              <w:spacing w:line="276"/>
            </w:pPr>
            <w:r>
              <w:rPr>
                <w:rFonts w:ascii="Times New Roman" w:eastAsia="SimSun"/>
                <w:b/>
                <w:bCs/>
                <w:color w:val="FFFFFF"/>
                <w:sz w:val="20"/>
                <w:szCs w:val="20"/>
              </w:rPr>
              <w:t xml:space="preserve">Upside</w:t>
            </w:r>
          </w:p>
        </w:tc>
        <w:tc>
          <w:tcPr>
            <w:tcW w:type="pct" w:w="24%"/>
            <w:shd w:fill="D4875A" w:val="clear"/>
            <w:tcMar>
              <w:top w:type="dxa" w:w="70"/>
              <w:left w:type="dxa" w:w="110"/>
              <w:bottom w:type="dxa" w:w="70"/>
              <w:right w:type="dxa" w:w="110"/>
            </w:tcMar>
          </w:tcPr>
          <w:p>
            <w:pPr>
              <w:spacing w:line="276"/>
            </w:pPr>
            <w:r>
              <w:rPr>
                <w:rFonts w:ascii="Times New Roman" w:eastAsia="SimSun"/>
                <w:b/>
                <w:bCs/>
                <w:color w:val="FFFFFF"/>
                <w:sz w:val="20"/>
                <w:szCs w:val="20"/>
              </w:rPr>
              <w:t xml:space="preserve">Principal risk</w:t>
            </w:r>
          </w:p>
        </w:tc>
      </w:tr>
      <w:tr>
        <w:trPr>
          <w:cantSplit/>
        </w:trPr>
        <w:tc>
          <w:tcPr>
            <w:tcW w:type="pct" w:w="16%"/>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A - Paid development</w:t>
            </w:r>
          </w:p>
        </w:tc>
        <w:tc>
          <w:tcPr>
            <w:tcW w:type="pct" w:w="24%"/>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Zaid builds, Mario pays per milestone</w:t>
            </w:r>
          </w:p>
        </w:tc>
        <w:tc>
          <w:tcPr>
            <w:tcW w:type="pct" w:w="18%"/>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Immediate, per milestone</w:t>
            </w:r>
          </w:p>
        </w:tc>
        <w:tc>
          <w:tcPr>
            <w:tcW w:type="pct" w:w="18%"/>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Reputation and reusable components only</w:t>
            </w:r>
          </w:p>
        </w:tc>
        <w:tc>
          <w:tcPr>
            <w:tcW w:type="pct" w:w="24%"/>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Scope creep on hard 2D-to-3D work; payment risk if Mario is bootstrapping</w:t>
            </w:r>
          </w:p>
        </w:tc>
      </w:tr>
      <w:tr>
        <w:trPr>
          <w:cantSplit/>
        </w:trPr>
        <w:tc>
          <w:tcPr>
            <w:tcW w:type="pct" w:w="16%"/>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B - Partnership</w:t>
            </w:r>
          </w:p>
        </w:tc>
        <w:tc>
          <w:tcPr>
            <w:tcW w:type="pct" w:w="24%"/>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Equity or revenue share; time for ownership</w:t>
            </w:r>
          </w:p>
        </w:tc>
        <w:tc>
          <w:tcPr>
            <w:tcW w:type="pct" w:w="18%"/>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Deferred, uncertain</w:t>
            </w:r>
          </w:p>
        </w:tc>
        <w:tc>
          <w:tcPr>
            <w:tcW w:type="pct" w:w="18%"/>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Uncapped if the product thesis holds</w:t>
            </w:r>
          </w:p>
        </w:tc>
        <w:tc>
          <w:tcPr>
            <w:tcW w:type="pct" w:w="24%"/>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Unvalidated market; IP and decision-rights disputes</w:t>
            </w:r>
          </w:p>
        </w:tc>
      </w:tr>
      <w:tr>
        <w:trPr>
          <w:cantSplit/>
        </w:trPr>
        <w:tc>
          <w:tcPr>
            <w:tcW w:type="pct" w:w="16%"/>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C - Hybrid</w:t>
            </w:r>
          </w:p>
        </w:tc>
        <w:tc>
          <w:tcPr>
            <w:tcW w:type="pct" w:w="24%"/>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Paid build plus a small equity kicker</w:t>
            </w:r>
          </w:p>
        </w:tc>
        <w:tc>
          <w:tcPr>
            <w:tcW w:type="pct" w:w="18%"/>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Partial cash now</w:t>
            </w:r>
          </w:p>
        </w:tc>
        <w:tc>
          <w:tcPr>
            <w:tcW w:type="pct" w:w="18%"/>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Capped but real</w:t>
            </w:r>
          </w:p>
        </w:tc>
        <w:tc>
          <w:tcPr>
            <w:tcW w:type="pct" w:w="24%"/>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Term-sheet complexity in a relationship not yet scoped</w:t>
            </w:r>
          </w:p>
        </w:tc>
      </w:tr>
    </w:tbl>
    <w:p>
      <w:pPr>
        <w:spacing w:after="140" w:line="312"/>
        <w:jc w:val="left"/>
      </w:pPr>
      <w:r>
        <w:rPr>
          <w:rFonts w:ascii="Times New Roman" w:eastAsia="SimSun"/>
          <w:b w:val="false"/>
          <w:bCs w:val="false"/>
          <w:i w:val="false"/>
          <w:iCs w:val="false"/>
          <w:color w:val="000000"/>
          <w:sz w:val="24"/>
          <w:szCs w:val="24"/>
        </w:rPr>
        <w:t xml:space="preserve">Sensitivity from the register: paid development wins if funding exists; partnership is only competitive with written IP terms, vesting for time contributions, a defined exit, and a validated product thesis. Whichever structure is chosen, the feasibility spike is paid work - that is what makes it safe to start.</w:t>
      </w:r>
    </w:p>
    <w:p>
      <w:pPr>
        <w:pStyle w:val="Heading2"/>
        <w:spacing w:after="140" w:before="280" w:line="312"/>
      </w:pPr>
      <w:bookmarkStart w:id="100005" w:name="_Toc100005"/>
      <w:r>
        <w:rPr>
          <w:rFonts w:ascii="Times New Roman" w:eastAsia="SimSun"/>
          <w:b/>
          <w:bCs/>
          <w:color w:val="1A2330"/>
          <w:sz w:val="28"/>
          <w:szCs w:val="28"/>
        </w:rPr>
        <w:t xml:space="preserve">4.2  Recommended sequence: paid spike first</w:t>
      </w:r>
      <w:bookmarkEnd w:id="100005"/>
    </w:p>
    <w:p>
      <w:pPr>
        <w:spacing w:after="140" w:line="312"/>
        <w:jc w:val="left"/>
      </w:pPr>
      <w:r>
        <w:rPr>
          <w:rFonts w:ascii="Times New Roman" w:eastAsia="SimSun"/>
          <w:b w:val="false"/>
          <w:bCs w:val="false"/>
          <w:i w:val="false"/>
          <w:iCs w:val="false"/>
          <w:color w:val="000000"/>
          <w:sz w:val="24"/>
          <w:szCs w:val="24"/>
        </w:rPr>
        <w:t xml:space="preserve">The advisor recommendation on record is a time-boxed, paid feasibility spike of five to twenty hours after the documents arrive: read both documents, pick one narrow drawing-type pipeline (one drawing family to parametric 3D to one automated report), and produce a technical approach plus an effort estimate for the real engagement. The spike is sellable under any of the three structures, generates the evidence needed to price and structure the full engagement, and caps technical risk before any outcome commitment is made. Quoting discipline: price per milestone against a written MVP slice, never time-and-materials against an open-ended framework.</w:t>
      </w:r>
    </w:p>
    <w:p>
      <w:pPr>
        <w:pStyle w:val="Heading2"/>
        <w:spacing w:after="140" w:before="280" w:line="312"/>
      </w:pPr>
      <w:bookmarkStart w:id="100006" w:name="_Toc100006"/>
      <w:r>
        <w:rPr>
          <w:rFonts w:ascii="Times New Roman" w:eastAsia="SimSun"/>
          <w:b/>
          <w:bCs/>
          <w:color w:val="1A2330"/>
          <w:sz w:val="28"/>
          <w:szCs w:val="28"/>
        </w:rPr>
        <w:t xml:space="preserve">4.3  Technical approach (DEC-002)</w:t>
      </w:r>
      <w:bookmarkEnd w:id="100006"/>
    </w:p>
    <w:p>
      <w:pPr>
        <w:spacing w:after="140" w:line="312"/>
        <w:jc w:val="left"/>
      </w:pPr>
      <w:r>
        <w:rPr>
          <w:rFonts w:ascii="Times New Roman" w:eastAsia="SimSun"/>
          <w:b w:val="false"/>
          <w:bCs w:val="false"/>
          <w:i w:val="false"/>
          <w:iCs w:val="false"/>
          <w:color w:val="000000"/>
          <w:sz w:val="24"/>
          <w:szCs w:val="24"/>
        </w:rPr>
        <w:t xml:space="preserve">The provisional technical decision scores a hybrid approach - a parametric, rule-based core with AI assistance where reliable - at 4.3, ahead of manual-assisted tooling at 3.2 and pure machine-learning reconstruction at 2.4. Full automatic 2D-to-3D reconstruction is research-grade work that has sunk other partnerships; it is tractable at SME scale only as a narrow slice with humans kept in the loop where reconstruction is unreliable. The scoring is provisional until the documents are read and must be confirmed against what they actually promise.</w:t>
      </w:r>
    </w:p>
    <w:p>
      <w:pPr>
        <w:pStyle w:val="Heading1"/>
        <w:spacing w:after="200" w:before="400" w:line="312"/>
        <w:jc w:val="center"/>
      </w:pPr>
      <w:bookmarkStart w:id="100007" w:name="_Toc100007"/>
      <w:r>
        <w:rPr>
          <w:rFonts w:ascii="Times New Roman" w:eastAsia="SimSun"/>
          <w:b/>
          <w:bCs/>
          <w:color w:val="1A2330"/>
          <w:sz w:val="32"/>
          <w:szCs w:val="32"/>
        </w:rPr>
        <w:t xml:space="preserve">5  Work Breakdown Structure</w:t>
      </w:r>
      <w:bookmarkEnd w:id="100007"/>
    </w:p>
    <w:p>
      <w:pPr>
        <w:spacing w:after="140" w:line="312"/>
        <w:jc w:val="left"/>
      </w:pPr>
      <w:r>
        <w:rPr>
          <w:rFonts w:ascii="Times New Roman" w:eastAsia="SimSun"/>
          <w:b w:val="false"/>
          <w:bCs w:val="false"/>
          <w:i w:val="false"/>
          <w:iCs w:val="false"/>
          <w:color w:val="000000"/>
          <w:sz w:val="24"/>
          <w:szCs w:val="24"/>
        </w:rPr>
        <w:t xml:space="preserve">The WBS below is deliverable-oriented and split into two branches. Branch 1 is the commitment phase: everything that must happen for the gate, the structure and the spike. Branch 2 is the conditional build phase: it is planned but deliberately not scheduled in detail until the spike is sold and the effort estimate lands inside Mario's funding. Effort figures marked est. are planning estimates within the 20-hour cap, not commitments.</w:t>
      </w:r>
    </w:p>
    <w:p>
      <w:pPr>
        <w:pStyle w:val="Heading2"/>
        <w:spacing w:after="140" w:before="280" w:line="312"/>
      </w:pPr>
      <w:bookmarkStart w:id="100008" w:name="_Toc100008"/>
      <w:r>
        <w:rPr>
          <w:rFonts w:ascii="Times New Roman" w:eastAsia="SimSun"/>
          <w:b/>
          <w:bCs/>
          <w:color w:val="1A2330"/>
          <w:sz w:val="28"/>
          <w:szCs w:val="28"/>
        </w:rPr>
        <w:t xml:space="preserve">5.1  Level 1 and 2 overview</w:t>
      </w:r>
      <w:bookmarkEnd w:id="100008"/>
    </w:p>
    <w:p>
      <w:pPr>
        <w:keepNext/>
        <w:spacing w:after="80" w:before="160" w:line="312"/>
      </w:pPr>
      <w:r>
        <w:rPr>
          <w:rFonts w:ascii="Times New Roman" w:eastAsia="SimSun"/>
          <w:b/>
          <w:bCs/>
          <w:color w:val="1A2330"/>
          <w:sz w:val="21"/>
          <w:szCs w:val="21"/>
        </w:rPr>
        <w:t xml:space="preserve">Table 5 - WBS overview</w:t>
      </w:r>
    </w:p>
    <w:tbl>
      <w:tblPr>
        <w:tblW w:type="pct" w:w="100%"/>
        <w:tblBorders>
          <w:top w:val="single" w:color="D4875A" w:sz="4"/>
          <w:left w:val="none"/>
          <w:bottom w:val="single" w:color="D4875A" w:sz="4"/>
          <w:right w:val="none"/>
          <w:insideH w:val="single" w:color="DDD0C8" w:sz="1"/>
          <w:insideV w:val="none"/>
        </w:tblBorders>
      </w:tblPr>
      <w:tblGrid>
        <w:gridCol w:w="100"/>
        <w:gridCol w:w="100"/>
        <w:gridCol w:w="100"/>
        <w:gridCol w:w="100"/>
      </w:tblGrid>
      <w:tr>
        <w:trPr>
          <w:cantSplit/>
          <w:tblHeader/>
        </w:trPr>
        <w:tc>
          <w:tcPr>
            <w:tcW w:type="pct" w:w="8%"/>
            <w:shd w:fill="D4875A" w:val="clear"/>
            <w:tcMar>
              <w:top w:type="dxa" w:w="70"/>
              <w:left w:type="dxa" w:w="110"/>
              <w:bottom w:type="dxa" w:w="70"/>
              <w:right w:type="dxa" w:w="110"/>
            </w:tcMar>
          </w:tcPr>
          <w:p>
            <w:pPr>
              <w:spacing w:line="276"/>
            </w:pPr>
            <w:r>
              <w:rPr>
                <w:rFonts w:ascii="Times New Roman" w:eastAsia="SimSun"/>
                <w:b/>
                <w:bCs/>
                <w:color w:val="FFFFFF"/>
                <w:sz w:val="20"/>
                <w:szCs w:val="20"/>
              </w:rPr>
              <w:t xml:space="preserve">WBS</w:t>
            </w:r>
          </w:p>
        </w:tc>
        <w:tc>
          <w:tcPr>
            <w:tcW w:type="pct" w:w="42%"/>
            <w:shd w:fill="D4875A" w:val="clear"/>
            <w:tcMar>
              <w:top w:type="dxa" w:w="70"/>
              <w:left w:type="dxa" w:w="110"/>
              <w:bottom w:type="dxa" w:w="70"/>
              <w:right w:type="dxa" w:w="110"/>
            </w:tcMar>
          </w:tcPr>
          <w:p>
            <w:pPr>
              <w:spacing w:line="276"/>
            </w:pPr>
            <w:r>
              <w:rPr>
                <w:rFonts w:ascii="Times New Roman" w:eastAsia="SimSun"/>
                <w:b/>
                <w:bCs/>
                <w:color w:val="FFFFFF"/>
                <w:sz w:val="20"/>
                <w:szCs w:val="20"/>
              </w:rPr>
              <w:t xml:space="preserve">Element</w:t>
            </w:r>
          </w:p>
        </w:tc>
        <w:tc>
          <w:tcPr>
            <w:tcW w:type="pct" w:w="20%"/>
            <w:shd w:fill="D4875A" w:val="clear"/>
            <w:tcMar>
              <w:top w:type="dxa" w:w="70"/>
              <w:left w:type="dxa" w:w="110"/>
              <w:bottom w:type="dxa" w:w="70"/>
              <w:right w:type="dxa" w:w="110"/>
            </w:tcMar>
          </w:tcPr>
          <w:p>
            <w:pPr>
              <w:spacing w:line="276"/>
            </w:pPr>
            <w:r>
              <w:rPr>
                <w:rFonts w:ascii="Times New Roman" w:eastAsia="SimSun"/>
                <w:b/>
                <w:bCs/>
                <w:color w:val="FFFFFF"/>
                <w:sz w:val="20"/>
                <w:szCs w:val="20"/>
              </w:rPr>
              <w:t xml:space="preserve">Type</w:t>
            </w:r>
          </w:p>
        </w:tc>
        <w:tc>
          <w:tcPr>
            <w:tcW w:type="pct" w:w="30%"/>
            <w:shd w:fill="D4875A" w:val="clear"/>
            <w:tcMar>
              <w:top w:type="dxa" w:w="70"/>
              <w:left w:type="dxa" w:w="110"/>
              <w:bottom w:type="dxa" w:w="70"/>
              <w:right w:type="dxa" w:w="110"/>
            </w:tcMar>
          </w:tcPr>
          <w:p>
            <w:pPr>
              <w:spacing w:line="276"/>
            </w:pPr>
            <w:r>
              <w:rPr>
                <w:rFonts w:ascii="Times New Roman" w:eastAsia="SimSun"/>
                <w:b/>
                <w:bCs/>
                <w:color w:val="FFFFFF"/>
                <w:sz w:val="20"/>
                <w:szCs w:val="20"/>
              </w:rPr>
              <w:t xml:space="preserve">Owner</w:t>
            </w:r>
          </w:p>
        </w:tc>
      </w:tr>
      <w:tr>
        <w:trPr>
          <w:cantSplit/>
        </w:trPr>
        <w:tc>
          <w:tcPr>
            <w:tcW w:type="pct" w:w="8%"/>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1</w:t>
            </w:r>
          </w:p>
        </w:tc>
        <w:tc>
          <w:tcPr>
            <w:tcW w:type="pct" w:w="42%"/>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Mario Software engagement - commitment phase</w:t>
            </w:r>
          </w:p>
        </w:tc>
        <w:tc>
          <w:tcPr>
            <w:tcW w:type="pct" w:w="20%"/>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Branch</w:t>
            </w:r>
          </w:p>
        </w:tc>
        <w:tc>
          <w:tcPr>
            <w:tcW w:type="pct" w:w="30%"/>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Zaid (+ Mario where marked)</w:t>
            </w:r>
          </w:p>
        </w:tc>
      </w:tr>
      <w:tr>
        <w:trPr>
          <w:cantSplit/>
        </w:trPr>
        <w:tc>
          <w:tcPr>
            <w:tcW w:type="pct" w:w="8%"/>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1.1</w:t>
            </w:r>
          </w:p>
        </w:tc>
        <w:tc>
          <w:tcPr>
            <w:tcW w:type="pct" w:w="42%"/>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Evidence base</w:t>
            </w:r>
          </w:p>
        </w:tc>
        <w:tc>
          <w:tcPr>
            <w:tcW w:type="pct" w:w="20%"/>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Deliverable group</w:t>
            </w:r>
          </w:p>
        </w:tc>
        <w:tc>
          <w:tcPr>
            <w:tcW w:type="pct" w:w="30%"/>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Zaid (export needs Mario's sign-in)</w:t>
            </w:r>
          </w:p>
        </w:tc>
      </w:tr>
      <w:tr>
        <w:trPr>
          <w:cantSplit/>
        </w:trPr>
        <w:tc>
          <w:tcPr>
            <w:tcW w:type="pct" w:w="8%"/>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1.2</w:t>
            </w:r>
          </w:p>
        </w:tc>
        <w:tc>
          <w:tcPr>
            <w:tcW w:type="pct" w:w="42%"/>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Governance and deal structure</w:t>
            </w:r>
          </w:p>
        </w:tc>
        <w:tc>
          <w:tcPr>
            <w:tcW w:type="pct" w:w="20%"/>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Deliverable group</w:t>
            </w:r>
          </w:p>
        </w:tc>
        <w:tc>
          <w:tcPr>
            <w:tcW w:type="pct" w:w="30%"/>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Zaid + Mario</w:t>
            </w:r>
          </w:p>
        </w:tc>
      </w:tr>
      <w:tr>
        <w:trPr>
          <w:cantSplit/>
        </w:trPr>
        <w:tc>
          <w:tcPr>
            <w:tcW w:type="pct" w:w="8%"/>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1.3</w:t>
            </w:r>
          </w:p>
        </w:tc>
        <w:tc>
          <w:tcPr>
            <w:tcW w:type="pct" w:w="42%"/>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Scope definition - MVP slice</w:t>
            </w:r>
          </w:p>
        </w:tc>
        <w:tc>
          <w:tcPr>
            <w:tcW w:type="pct" w:w="20%"/>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Deliverable group</w:t>
            </w:r>
          </w:p>
        </w:tc>
        <w:tc>
          <w:tcPr>
            <w:tcW w:type="pct" w:w="30%"/>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Zaid</w:t>
            </w:r>
          </w:p>
        </w:tc>
      </w:tr>
      <w:tr>
        <w:trPr>
          <w:cantSplit/>
        </w:trPr>
        <w:tc>
          <w:tcPr>
            <w:tcW w:type="pct" w:w="8%"/>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1.4</w:t>
            </w:r>
          </w:p>
        </w:tc>
        <w:tc>
          <w:tcPr>
            <w:tcW w:type="pct" w:w="42%"/>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Gate reviews</w:t>
            </w:r>
          </w:p>
        </w:tc>
        <w:tc>
          <w:tcPr>
            <w:tcW w:type="pct" w:w="20%"/>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Deliverable group</w:t>
            </w:r>
          </w:p>
        </w:tc>
        <w:tc>
          <w:tcPr>
            <w:tcW w:type="pct" w:w="30%"/>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Zaid</w:t>
            </w:r>
          </w:p>
        </w:tc>
      </w:tr>
      <w:tr>
        <w:trPr>
          <w:cantSplit/>
        </w:trPr>
        <w:tc>
          <w:tcPr>
            <w:tcW w:type="pct" w:w="8%"/>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1.5</w:t>
            </w:r>
          </w:p>
        </w:tc>
        <w:tc>
          <w:tcPr>
            <w:tcW w:type="pct" w:w="42%"/>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Feasibility spike</w:t>
            </w:r>
          </w:p>
        </w:tc>
        <w:tc>
          <w:tcPr>
            <w:tcW w:type="pct" w:w="20%"/>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Deliverable group</w:t>
            </w:r>
          </w:p>
        </w:tc>
        <w:tc>
          <w:tcPr>
            <w:tcW w:type="pct" w:w="30%"/>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Zaid + Mario</w:t>
            </w:r>
          </w:p>
        </w:tc>
      </w:tr>
      <w:tr>
        <w:trPr>
          <w:cantSplit/>
        </w:trPr>
        <w:tc>
          <w:tcPr>
            <w:tcW w:type="pct" w:w="8%"/>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2</w:t>
            </w:r>
          </w:p>
        </w:tc>
        <w:tc>
          <w:tcPr>
            <w:tcW w:type="pct" w:w="42%"/>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MVP build and validation - conditional</w:t>
            </w:r>
          </w:p>
        </w:tc>
        <w:tc>
          <w:tcPr>
            <w:tcW w:type="pct" w:w="20%"/>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Branch</w:t>
            </w:r>
          </w:p>
        </w:tc>
        <w:tc>
          <w:tcPr>
            <w:tcW w:type="pct" w:w="30%"/>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Zaid (+ Mario)</w:t>
            </w:r>
          </w:p>
        </w:tc>
      </w:tr>
      <w:tr>
        <w:trPr>
          <w:cantSplit/>
        </w:trPr>
        <w:tc>
          <w:tcPr>
            <w:tcW w:type="pct" w:w="8%"/>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2.1</w:t>
            </w:r>
          </w:p>
        </w:tc>
        <w:tc>
          <w:tcPr>
            <w:tcW w:type="pct" w:w="42%"/>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MVP slice build</w:t>
            </w:r>
          </w:p>
        </w:tc>
        <w:tc>
          <w:tcPr>
            <w:tcW w:type="pct" w:w="20%"/>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Deliverable group</w:t>
            </w:r>
          </w:p>
        </w:tc>
        <w:tc>
          <w:tcPr>
            <w:tcW w:type="pct" w:w="30%"/>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Zaid</w:t>
            </w:r>
          </w:p>
        </w:tc>
      </w:tr>
      <w:tr>
        <w:trPr>
          <w:cantSplit/>
        </w:trPr>
        <w:tc>
          <w:tcPr>
            <w:tcW w:type="pct" w:w="8%"/>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2.2</w:t>
            </w:r>
          </w:p>
        </w:tc>
        <w:tc>
          <w:tcPr>
            <w:tcW w:type="pct" w:w="42%"/>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Real-drawing pilot</w:t>
            </w:r>
          </w:p>
        </w:tc>
        <w:tc>
          <w:tcPr>
            <w:tcW w:type="pct" w:w="20%"/>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Deliverable group</w:t>
            </w:r>
          </w:p>
        </w:tc>
        <w:tc>
          <w:tcPr>
            <w:tcW w:type="pct" w:w="30%"/>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Zaid + Mario</w:t>
            </w:r>
          </w:p>
        </w:tc>
      </w:tr>
      <w:tr>
        <w:trPr>
          <w:cantSplit/>
        </w:trPr>
        <w:tc>
          <w:tcPr>
            <w:tcW w:type="pct" w:w="8%"/>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2.3</w:t>
            </w:r>
          </w:p>
        </w:tc>
        <w:tc>
          <w:tcPr>
            <w:tcW w:type="pct" w:w="42%"/>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Build-to-market gate</w:t>
            </w:r>
          </w:p>
        </w:tc>
        <w:tc>
          <w:tcPr>
            <w:tcW w:type="pct" w:w="20%"/>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Deliverable group</w:t>
            </w:r>
          </w:p>
        </w:tc>
        <w:tc>
          <w:tcPr>
            <w:tcW w:type="pct" w:w="30%"/>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Zaid</w:t>
            </w:r>
          </w:p>
        </w:tc>
      </w:tr>
    </w:tbl>
    <w:p>
      <w:pPr>
        <w:pStyle w:val="Heading2"/>
        <w:spacing w:after="140" w:before="280" w:line="312"/>
      </w:pPr>
      <w:bookmarkStart w:id="100009" w:name="_Toc100009"/>
      <w:r>
        <w:rPr>
          <w:rFonts w:ascii="Times New Roman" w:eastAsia="SimSun"/>
          <w:b/>
          <w:bCs/>
          <w:color w:val="1A2330"/>
          <w:sz w:val="28"/>
          <w:szCs w:val="28"/>
        </w:rPr>
        <w:t xml:space="preserve">5.2  Branch 1 - commitment phase (work packages)</w:t>
      </w:r>
      <w:bookmarkEnd w:id="100009"/>
    </w:p>
    <w:p>
      <w:pPr>
        <w:keepNext/>
        <w:spacing w:after="80" w:before="160" w:line="312"/>
      </w:pPr>
      <w:r>
        <w:rPr>
          <w:rFonts w:ascii="Times New Roman" w:eastAsia="SimSun"/>
          <w:b/>
          <w:bCs/>
          <w:color w:val="1A2330"/>
          <w:sz w:val="21"/>
          <w:szCs w:val="21"/>
        </w:rPr>
        <w:t xml:space="preserve">Table 6 - Work packages, branch 1</w:t>
      </w:r>
    </w:p>
    <w:tbl>
      <w:tblPr>
        <w:tblW w:type="pct" w:w="100%"/>
        <w:tblBorders>
          <w:top w:val="single" w:color="D4875A" w:sz="4"/>
          <w:left w:val="none"/>
          <w:bottom w:val="single" w:color="D4875A" w:sz="4"/>
          <w:right w:val="none"/>
          <w:insideH w:val="single" w:color="DDD0C8" w:sz="1"/>
          <w:insideV w:val="none"/>
        </w:tblBorders>
      </w:tblPr>
      <w:tblGrid>
        <w:gridCol w:w="100"/>
        <w:gridCol w:w="100"/>
        <w:gridCol w:w="100"/>
        <w:gridCol w:w="100"/>
        <w:gridCol w:w="100"/>
        <w:gridCol w:w="100"/>
        <w:gridCol w:w="100"/>
      </w:tblGrid>
      <w:tr>
        <w:trPr>
          <w:cantSplit/>
          <w:tblHeader/>
        </w:trPr>
        <w:tc>
          <w:tcPr>
            <w:tcW w:type="pct" w:w="8%"/>
            <w:shd w:fill="D4875A" w:val="clear"/>
            <w:tcMar>
              <w:top w:type="dxa" w:w="70"/>
              <w:left w:type="dxa" w:w="110"/>
              <w:bottom w:type="dxa" w:w="70"/>
              <w:right w:type="dxa" w:w="110"/>
            </w:tcMar>
          </w:tcPr>
          <w:p>
            <w:pPr>
              <w:spacing w:line="276"/>
            </w:pPr>
            <w:r>
              <w:rPr>
                <w:rFonts w:ascii="Times New Roman" w:eastAsia="SimSun"/>
                <w:b/>
                <w:bCs/>
                <w:color w:val="FFFFFF"/>
                <w:sz w:val="20"/>
                <w:szCs w:val="20"/>
              </w:rPr>
              <w:t xml:space="preserve">WBS</w:t>
            </w:r>
          </w:p>
        </w:tc>
        <w:tc>
          <w:tcPr>
            <w:tcW w:type="pct" w:w="27%"/>
            <w:shd w:fill="D4875A" w:val="clear"/>
            <w:tcMar>
              <w:top w:type="dxa" w:w="70"/>
              <w:left w:type="dxa" w:w="110"/>
              <w:bottom w:type="dxa" w:w="70"/>
              <w:right w:type="dxa" w:w="110"/>
            </w:tcMar>
          </w:tcPr>
          <w:p>
            <w:pPr>
              <w:spacing w:line="276"/>
            </w:pPr>
            <w:r>
              <w:rPr>
                <w:rFonts w:ascii="Times New Roman" w:eastAsia="SimSun"/>
                <w:b/>
                <w:bCs/>
                <w:color w:val="FFFFFF"/>
                <w:sz w:val="20"/>
                <w:szCs w:val="20"/>
              </w:rPr>
              <w:t xml:space="preserve">Work package</w:t>
            </w:r>
          </w:p>
        </w:tc>
        <w:tc>
          <w:tcPr>
            <w:tcW w:type="pct" w:w="14%"/>
            <w:shd w:fill="D4875A" w:val="clear"/>
            <w:tcMar>
              <w:top w:type="dxa" w:w="70"/>
              <w:left w:type="dxa" w:w="110"/>
              <w:bottom w:type="dxa" w:w="70"/>
              <w:right w:type="dxa" w:w="110"/>
            </w:tcMar>
          </w:tcPr>
          <w:p>
            <w:pPr>
              <w:spacing w:line="276"/>
            </w:pPr>
            <w:r>
              <w:rPr>
                <w:rFonts w:ascii="Times New Roman" w:eastAsia="SimSun"/>
                <w:b/>
                <w:bCs/>
                <w:color w:val="FFFFFF"/>
                <w:sz w:val="20"/>
                <w:szCs w:val="20"/>
              </w:rPr>
              <w:t xml:space="preserve">Owner</w:t>
            </w:r>
          </w:p>
        </w:tc>
        <w:tc>
          <w:tcPr>
            <w:tcW w:type="pct" w:w="10%"/>
            <w:shd w:fill="D4875A" w:val="clear"/>
            <w:tcMar>
              <w:top w:type="dxa" w:w="70"/>
              <w:left w:type="dxa" w:w="110"/>
              <w:bottom w:type="dxa" w:w="70"/>
              <w:right w:type="dxa" w:w="110"/>
            </w:tcMar>
          </w:tcPr>
          <w:p>
            <w:pPr>
              <w:spacing w:line="276"/>
            </w:pPr>
            <w:r>
              <w:rPr>
                <w:rFonts w:ascii="Times New Roman" w:eastAsia="SimSun"/>
                <w:b/>
                <w:bCs/>
                <w:color w:val="FFFFFF"/>
                <w:sz w:val="20"/>
                <w:szCs w:val="20"/>
              </w:rPr>
              <w:t xml:space="preserve">Effort</w:t>
            </w:r>
          </w:p>
        </w:tc>
        <w:tc>
          <w:tcPr>
            <w:tcW w:type="pct" w:w="15%"/>
            <w:shd w:fill="D4875A" w:val="clear"/>
            <w:tcMar>
              <w:top w:type="dxa" w:w="70"/>
              <w:left w:type="dxa" w:w="110"/>
              <w:bottom w:type="dxa" w:w="70"/>
              <w:right w:type="dxa" w:w="110"/>
            </w:tcMar>
          </w:tcPr>
          <w:p>
            <w:pPr>
              <w:spacing w:line="276"/>
            </w:pPr>
            <w:r>
              <w:rPr>
                <w:rFonts w:ascii="Times New Roman" w:eastAsia="SimSun"/>
                <w:b/>
                <w:bCs/>
                <w:color w:val="FFFFFF"/>
                <w:sz w:val="20"/>
                <w:szCs w:val="20"/>
              </w:rPr>
              <w:t xml:space="preserve">Window</w:t>
            </w:r>
          </w:p>
        </w:tc>
        <w:tc>
          <w:tcPr>
            <w:tcW w:type="pct" w:w="12%"/>
            <w:shd w:fill="D4875A" w:val="clear"/>
            <w:tcMar>
              <w:top w:type="dxa" w:w="70"/>
              <w:left w:type="dxa" w:w="110"/>
              <w:bottom w:type="dxa" w:w="70"/>
              <w:right w:type="dxa" w:w="110"/>
            </w:tcMar>
          </w:tcPr>
          <w:p>
            <w:pPr>
              <w:spacing w:line="276"/>
            </w:pPr>
            <w:r>
              <w:rPr>
                <w:rFonts w:ascii="Times New Roman" w:eastAsia="SimSun"/>
                <w:b/>
                <w:bCs/>
                <w:color w:val="FFFFFF"/>
                <w:sz w:val="20"/>
                <w:szCs w:val="20"/>
              </w:rPr>
              <w:t xml:space="preserve">Depends on</w:t>
            </w:r>
          </w:p>
        </w:tc>
        <w:tc>
          <w:tcPr>
            <w:tcW w:type="pct" w:w="24%"/>
            <w:shd w:fill="D4875A" w:val="clear"/>
            <w:tcMar>
              <w:top w:type="dxa" w:w="70"/>
              <w:left w:type="dxa" w:w="110"/>
              <w:bottom w:type="dxa" w:w="70"/>
              <w:right w:type="dxa" w:w="110"/>
            </w:tcMar>
          </w:tcPr>
          <w:p>
            <w:pPr>
              <w:spacing w:line="276"/>
            </w:pPr>
            <w:r>
              <w:rPr>
                <w:rFonts w:ascii="Times New Roman" w:eastAsia="SimSun"/>
                <w:b/>
                <w:bCs/>
                <w:color w:val="FFFFFF"/>
                <w:sz w:val="20"/>
                <w:szCs w:val="20"/>
              </w:rPr>
              <w:t xml:space="preserve">Definition of done</w:t>
            </w:r>
          </w:p>
        </w:tc>
      </w:tr>
      <w:tr>
        <w:trPr>
          <w:cantSplit/>
        </w:trPr>
        <w:tc>
          <w:tcPr>
            <w:tcW w:type="pct" w:w="8%"/>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1.1.1</w:t>
            </w:r>
          </w:p>
        </w:tc>
        <w:tc>
          <w:tcPr>
            <w:tcW w:type="pct" w:w="27%"/>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Export both framework documents to 04_Inputs (as .docx)</w:t>
            </w:r>
          </w:p>
        </w:tc>
        <w:tc>
          <w:tcPr>
            <w:tcW w:type="pct" w:w="14%"/>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Zaid at Mario's machine</w:t>
            </w:r>
          </w:p>
        </w:tc>
        <w:tc>
          <w:tcPr>
            <w:tcW w:type="pct" w:w="10%"/>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0.5-1 h (est.)</w:t>
            </w:r>
          </w:p>
        </w:tc>
        <w:tc>
          <w:tcPr>
            <w:tcW w:type="pct" w:w="15%"/>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Next week; register due 2026-09-26</w:t>
            </w:r>
          </w:p>
        </w:tc>
        <w:tc>
          <w:tcPr>
            <w:tcW w:type="pct" w:w="12%"/>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w:t>
            </w:r>
          </w:p>
        </w:tc>
        <w:tc>
          <w:tcPr>
            <w:tcW w:type="pct" w:w="24%"/>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Both files readable on Zaid's machine</w:t>
            </w:r>
          </w:p>
        </w:tc>
      </w:tr>
      <w:tr>
        <w:trPr>
          <w:cantSplit/>
        </w:trPr>
        <w:tc>
          <w:tcPr>
            <w:tcW w:type="pct" w:w="8%"/>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1.1.2</w:t>
            </w:r>
          </w:p>
        </w:tc>
        <w:tc>
          <w:tcPr>
            <w:tcW w:type="pct" w:w="27%"/>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Collect 3-5 sample drawing files of the target family</w:t>
            </w:r>
          </w:p>
        </w:tc>
        <w:tc>
          <w:tcPr>
            <w:tcW w:type="pct" w:w="14%"/>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Zaid + Mario</w:t>
            </w:r>
          </w:p>
        </w:tc>
        <w:tc>
          <w:tcPr>
            <w:tcW w:type="pct" w:w="10%"/>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0.5 h (est.)</w:t>
            </w:r>
          </w:p>
        </w:tc>
        <w:tc>
          <w:tcPr>
            <w:tcW w:type="pct" w:w="15%"/>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Next week</w:t>
            </w:r>
          </w:p>
        </w:tc>
        <w:tc>
          <w:tcPr>
            <w:tcW w:type="pct" w:w="12%"/>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1.1.1</w:t>
            </w:r>
          </w:p>
        </w:tc>
        <w:tc>
          <w:tcPr>
            <w:tcW w:type="pct" w:w="24%"/>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Real drawings stored beside the docs</w:t>
            </w:r>
          </w:p>
        </w:tc>
      </w:tr>
      <w:tr>
        <w:trPr>
          <w:cantSplit/>
        </w:trPr>
        <w:tc>
          <w:tcPr>
            <w:tcW w:type="pct" w:w="8%"/>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1.1.3</w:t>
            </w:r>
          </w:p>
        </w:tc>
        <w:tc>
          <w:tcPr>
            <w:tcW w:type="pct" w:w="27%"/>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Full re-assessment against the actual documents</w:t>
            </w:r>
          </w:p>
        </w:tc>
        <w:tc>
          <w:tcPr>
            <w:tcW w:type="pct" w:w="14%"/>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Zaid (advisor-supported)</w:t>
            </w:r>
          </w:p>
        </w:tc>
        <w:tc>
          <w:tcPr>
            <w:tcW w:type="pct" w:w="10%"/>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2-3 h (est.)</w:t>
            </w:r>
          </w:p>
        </w:tc>
        <w:tc>
          <w:tcPr>
            <w:tcW w:type="pct" w:w="15%"/>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Within 3 days of export</w:t>
            </w:r>
          </w:p>
        </w:tc>
        <w:tc>
          <w:tcPr>
            <w:tcW w:type="pct" w:w="12%"/>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1.1.1</w:t>
            </w:r>
          </w:p>
        </w:tc>
        <w:tc>
          <w:tcPr>
            <w:tcW w:type="pct" w:w="24%"/>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Re-scored assessment; kill triggers checked</w:t>
            </w:r>
          </w:p>
        </w:tc>
      </w:tr>
      <w:tr>
        <w:trPr>
          <w:cantSplit/>
        </w:trPr>
        <w:tc>
          <w:tcPr>
            <w:tcW w:type="pct" w:w="8%"/>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1.2.1</w:t>
            </w:r>
          </w:p>
        </w:tc>
        <w:tc>
          <w:tcPr>
            <w:tcW w:type="pct" w:w="27%"/>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Scope conversation (60 minutes, agenda in Section 7)</w:t>
            </w:r>
          </w:p>
        </w:tc>
        <w:tc>
          <w:tcPr>
            <w:tcW w:type="pct" w:w="14%"/>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Zaid + Mario</w:t>
            </w:r>
          </w:p>
        </w:tc>
        <w:tc>
          <w:tcPr>
            <w:tcW w:type="pct" w:w="10%"/>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1 h</w:t>
            </w:r>
          </w:p>
        </w:tc>
        <w:tc>
          <w:tcPr>
            <w:tcW w:type="pct" w:w="15%"/>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Next week; register due 2026-10-03</w:t>
            </w:r>
          </w:p>
        </w:tc>
        <w:tc>
          <w:tcPr>
            <w:tcW w:type="pct" w:w="12%"/>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1.1.1</w:t>
            </w:r>
          </w:p>
        </w:tc>
        <w:tc>
          <w:tcPr>
            <w:tcW w:type="pct" w:w="24%"/>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Capture sheet completed</w:t>
            </w:r>
          </w:p>
        </w:tc>
      </w:tr>
      <w:tr>
        <w:trPr>
          <w:cantSplit/>
        </w:trPr>
        <w:tc>
          <w:tcPr>
            <w:tcW w:type="pct" w:w="8%"/>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1.2.2</w:t>
            </w:r>
          </w:p>
        </w:tc>
        <w:tc>
          <w:tcPr>
            <w:tcW w:type="pct" w:w="27%"/>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Score and decide the structure (DEC-001)</w:t>
            </w:r>
          </w:p>
        </w:tc>
        <w:tc>
          <w:tcPr>
            <w:tcW w:type="pct" w:w="14%"/>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Zaid</w:t>
            </w:r>
          </w:p>
        </w:tc>
        <w:tc>
          <w:tcPr>
            <w:tcW w:type="pct" w:w="10%"/>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1 h (est.)</w:t>
            </w:r>
          </w:p>
        </w:tc>
        <w:tc>
          <w:tcPr>
            <w:tcW w:type="pct" w:w="15%"/>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By 2026-10-03</w:t>
            </w:r>
          </w:p>
        </w:tc>
        <w:tc>
          <w:tcPr>
            <w:tcW w:type="pct" w:w="12%"/>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1.1.3, 1.2.1</w:t>
            </w:r>
          </w:p>
        </w:tc>
        <w:tc>
          <w:tcPr>
            <w:tcW w:type="pct" w:w="24%"/>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Decision recorded in DEC register</w:t>
            </w:r>
          </w:p>
        </w:tc>
      </w:tr>
      <w:tr>
        <w:trPr>
          <w:cantSplit/>
        </w:trPr>
        <w:tc>
          <w:tcPr>
            <w:tcW w:type="pct" w:w="8%"/>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1.2.3</w:t>
            </w:r>
          </w:p>
        </w:tc>
        <w:tc>
          <w:tcPr>
            <w:tcW w:type="pct" w:w="27%"/>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Write and sign the one-page term sheet</w:t>
            </w:r>
          </w:p>
        </w:tc>
        <w:tc>
          <w:tcPr>
            <w:tcW w:type="pct" w:w="14%"/>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Zaid + Mario</w:t>
            </w:r>
          </w:p>
        </w:tc>
        <w:tc>
          <w:tcPr>
            <w:tcW w:type="pct" w:w="10%"/>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1-2 h (est.)</w:t>
            </w:r>
          </w:p>
        </w:tc>
        <w:tc>
          <w:tcPr>
            <w:tcW w:type="pct" w:w="15%"/>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By 2026-10-03</w:t>
            </w:r>
          </w:p>
        </w:tc>
        <w:tc>
          <w:tcPr>
            <w:tcW w:type="pct" w:w="12%"/>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1.2.2</w:t>
            </w:r>
          </w:p>
        </w:tc>
        <w:tc>
          <w:tcPr>
            <w:tcW w:type="pct" w:w="24%"/>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Signed or explicitly deferred in writing</w:t>
            </w:r>
          </w:p>
        </w:tc>
      </w:tr>
      <w:tr>
        <w:trPr>
          <w:cantSplit/>
        </w:trPr>
        <w:tc>
          <w:tcPr>
            <w:tcW w:type="pct" w:w="8%"/>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1.2.4</w:t>
            </w:r>
          </w:p>
        </w:tc>
        <w:tc>
          <w:tcPr>
            <w:tcW w:type="pct" w:w="27%"/>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IP terms rider (partnership or hybrid only)</w:t>
            </w:r>
          </w:p>
        </w:tc>
        <w:tc>
          <w:tcPr>
            <w:tcW w:type="pct" w:w="14%"/>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Zaid + Mario</w:t>
            </w:r>
          </w:p>
        </w:tc>
        <w:tc>
          <w:tcPr>
            <w:tcW w:type="pct" w:w="10%"/>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1-2 h (est.)</w:t>
            </w:r>
          </w:p>
        </w:tc>
        <w:tc>
          <w:tcPr>
            <w:tcW w:type="pct" w:w="15%"/>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With 1.2.3</w:t>
            </w:r>
          </w:p>
        </w:tc>
        <w:tc>
          <w:tcPr>
            <w:tcW w:type="pct" w:w="12%"/>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1.2.2</w:t>
            </w:r>
          </w:p>
        </w:tc>
        <w:tc>
          <w:tcPr>
            <w:tcW w:type="pct" w:w="24%"/>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Ownership, vesting, exit and deadlock defined</w:t>
            </w:r>
          </w:p>
        </w:tc>
      </w:tr>
      <w:tr>
        <w:trPr>
          <w:cantSplit/>
        </w:trPr>
        <w:tc>
          <w:tcPr>
            <w:tcW w:type="pct" w:w="8%"/>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1.3.1</w:t>
            </w:r>
          </w:p>
        </w:tc>
        <w:tc>
          <w:tcPr>
            <w:tcW w:type="pct" w:w="27%"/>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Select the drawing family for the slice</w:t>
            </w:r>
          </w:p>
        </w:tc>
        <w:tc>
          <w:tcPr>
            <w:tcW w:type="pct" w:w="14%"/>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Zaid</w:t>
            </w:r>
          </w:p>
        </w:tc>
        <w:tc>
          <w:tcPr>
            <w:tcW w:type="pct" w:w="10%"/>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0.5 h (est.)</w:t>
            </w:r>
          </w:p>
        </w:tc>
        <w:tc>
          <w:tcPr>
            <w:tcW w:type="pct" w:w="15%"/>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By 2026-10-03 (draft)</w:t>
            </w:r>
          </w:p>
        </w:tc>
        <w:tc>
          <w:tcPr>
            <w:tcW w:type="pct" w:w="12%"/>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1.1.3, 1.1.2</w:t>
            </w:r>
          </w:p>
        </w:tc>
        <w:tc>
          <w:tcPr>
            <w:tcW w:type="pct" w:w="24%"/>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One family named, with samples in hand</w:t>
            </w:r>
          </w:p>
        </w:tc>
      </w:tr>
      <w:tr>
        <w:trPr>
          <w:cantSplit/>
        </w:trPr>
        <w:tc>
          <w:tcPr>
            <w:tcW w:type="pct" w:w="8%"/>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1.3.2</w:t>
            </w:r>
          </w:p>
        </w:tc>
        <w:tc>
          <w:tcPr>
            <w:tcW w:type="pct" w:w="27%"/>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Define the parametric core and AI-assist boundary</w:t>
            </w:r>
          </w:p>
        </w:tc>
        <w:tc>
          <w:tcPr>
            <w:tcW w:type="pct" w:w="14%"/>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Zaid</w:t>
            </w:r>
          </w:p>
        </w:tc>
        <w:tc>
          <w:tcPr>
            <w:tcW w:type="pct" w:w="10%"/>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1-2 h (est.)</w:t>
            </w:r>
          </w:p>
        </w:tc>
        <w:tc>
          <w:tcPr>
            <w:tcW w:type="pct" w:w="15%"/>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By 2026-10-10 (final)</w:t>
            </w:r>
          </w:p>
        </w:tc>
        <w:tc>
          <w:tcPr>
            <w:tcW w:type="pct" w:w="12%"/>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1.3.1</w:t>
            </w:r>
          </w:p>
        </w:tc>
        <w:tc>
          <w:tcPr>
            <w:tcW w:type="pct" w:w="24%"/>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Slice spec: input, transform, report</w:t>
            </w:r>
          </w:p>
        </w:tc>
      </w:tr>
      <w:tr>
        <w:trPr>
          <w:cantSplit/>
        </w:trPr>
        <w:tc>
          <w:tcPr>
            <w:tcW w:type="pct" w:w="8%"/>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1.3.3</w:t>
            </w:r>
          </w:p>
        </w:tc>
        <w:tc>
          <w:tcPr>
            <w:tcW w:type="pct" w:w="27%"/>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Define the automated report output</w:t>
            </w:r>
          </w:p>
        </w:tc>
        <w:tc>
          <w:tcPr>
            <w:tcW w:type="pct" w:w="14%"/>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Zaid + Mario</w:t>
            </w:r>
          </w:p>
        </w:tc>
        <w:tc>
          <w:tcPr>
            <w:tcW w:type="pct" w:w="10%"/>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0.5 h (est.)</w:t>
            </w:r>
          </w:p>
        </w:tc>
        <w:tc>
          <w:tcPr>
            <w:tcW w:type="pct" w:w="15%"/>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With 1.3.2</w:t>
            </w:r>
          </w:p>
        </w:tc>
        <w:tc>
          <w:tcPr>
            <w:tcW w:type="pct" w:w="12%"/>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1.3.1</w:t>
            </w:r>
          </w:p>
        </w:tc>
        <w:tc>
          <w:tcPr>
            <w:tcW w:type="pct" w:w="24%"/>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Report mock-up agreed</w:t>
            </w:r>
          </w:p>
        </w:tc>
      </w:tr>
      <w:tr>
        <w:trPr>
          <w:cantSplit/>
        </w:trPr>
        <w:tc>
          <w:tcPr>
            <w:tcW w:type="pct" w:w="8%"/>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1.4.1</w:t>
            </w:r>
          </w:p>
        </w:tc>
        <w:tc>
          <w:tcPr>
            <w:tcW w:type="pct" w:w="27%"/>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Gate review G1: Concept to Validation</w:t>
            </w:r>
          </w:p>
        </w:tc>
        <w:tc>
          <w:tcPr>
            <w:tcW w:type="pct" w:w="14%"/>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Zaid</w:t>
            </w:r>
          </w:p>
        </w:tc>
        <w:tc>
          <w:tcPr>
            <w:tcW w:type="pct" w:w="10%"/>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0.5 h</w:t>
            </w:r>
          </w:p>
        </w:tc>
        <w:tc>
          <w:tcPr>
            <w:tcW w:type="pct" w:w="15%"/>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2026-10-03</w:t>
            </w:r>
          </w:p>
        </w:tc>
        <w:tc>
          <w:tcPr>
            <w:tcW w:type="pct" w:w="12%"/>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1.1.3, 1.2.3, 1.3.1</w:t>
            </w:r>
          </w:p>
        </w:tc>
        <w:tc>
          <w:tcPr>
            <w:tcW w:type="pct" w:w="24%"/>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Pass, park or kill recorded</w:t>
            </w:r>
          </w:p>
        </w:tc>
      </w:tr>
      <w:tr>
        <w:trPr>
          <w:cantSplit/>
        </w:trPr>
        <w:tc>
          <w:tcPr>
            <w:tcW w:type="pct" w:w="8%"/>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1.5.1</w:t>
            </w:r>
          </w:p>
        </w:tc>
        <w:tc>
          <w:tcPr>
            <w:tcW w:type="pct" w:w="27%"/>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Spike proposal and pricing</w:t>
            </w:r>
          </w:p>
        </w:tc>
        <w:tc>
          <w:tcPr>
            <w:tcW w:type="pct" w:w="14%"/>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Zaid</w:t>
            </w:r>
          </w:p>
        </w:tc>
        <w:tc>
          <w:tcPr>
            <w:tcW w:type="pct" w:w="10%"/>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1-2 h (est.)</w:t>
            </w:r>
          </w:p>
        </w:tc>
        <w:tc>
          <w:tcPr>
            <w:tcW w:type="pct" w:w="15%"/>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Week of 2026-10-05</w:t>
            </w:r>
          </w:p>
        </w:tc>
        <w:tc>
          <w:tcPr>
            <w:tcW w:type="pct" w:w="12%"/>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1.4.1</w:t>
            </w:r>
          </w:p>
        </w:tc>
        <w:tc>
          <w:tcPr>
            <w:tcW w:type="pct" w:w="24%"/>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One-page priced proposal delivered</w:t>
            </w:r>
          </w:p>
        </w:tc>
      </w:tr>
      <w:tr>
        <w:trPr>
          <w:cantSplit/>
        </w:trPr>
        <w:tc>
          <w:tcPr>
            <w:tcW w:type="pct" w:w="8%"/>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1.5.2</w:t>
            </w:r>
          </w:p>
        </w:tc>
        <w:tc>
          <w:tcPr>
            <w:tcW w:type="pct" w:w="27%"/>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Sell the spike (ACT-005)</w:t>
            </w:r>
          </w:p>
        </w:tc>
        <w:tc>
          <w:tcPr>
            <w:tcW w:type="pct" w:w="14%"/>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Zaid + Mario</w:t>
            </w:r>
          </w:p>
        </w:tc>
        <w:tc>
          <w:tcPr>
            <w:tcW w:type="pct" w:w="10%"/>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1 h (est.)</w:t>
            </w:r>
          </w:p>
        </w:tc>
        <w:tc>
          <w:tcPr>
            <w:tcW w:type="pct" w:w="15%"/>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By 2026-10-31</w:t>
            </w:r>
          </w:p>
        </w:tc>
        <w:tc>
          <w:tcPr>
            <w:tcW w:type="pct" w:w="12%"/>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1.5.1</w:t>
            </w:r>
          </w:p>
        </w:tc>
        <w:tc>
          <w:tcPr>
            <w:tcW w:type="pct" w:w="24%"/>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Paid go-ahead in writing</w:t>
            </w:r>
          </w:p>
        </w:tc>
      </w:tr>
      <w:tr>
        <w:trPr>
          <w:cantSplit/>
        </w:trPr>
        <w:tc>
          <w:tcPr>
            <w:tcW w:type="pct" w:w="8%"/>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1.5.3</w:t>
            </w:r>
          </w:p>
        </w:tc>
        <w:tc>
          <w:tcPr>
            <w:tcW w:type="pct" w:w="27%"/>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Deliver spike: technical approach + effort estimate</w:t>
            </w:r>
          </w:p>
        </w:tc>
        <w:tc>
          <w:tcPr>
            <w:tcW w:type="pct" w:w="14%"/>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Zaid</w:t>
            </w:r>
          </w:p>
        </w:tc>
        <w:tc>
          <w:tcPr>
            <w:tcW w:type="pct" w:w="10%"/>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5-20 h (paid)</w:t>
            </w:r>
          </w:p>
        </w:tc>
        <w:tc>
          <w:tcPr>
            <w:tcW w:type="pct" w:w="15%"/>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November 2026</w:t>
            </w:r>
          </w:p>
        </w:tc>
        <w:tc>
          <w:tcPr>
            <w:tcW w:type="pct" w:w="12%"/>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1.5.2</w:t>
            </w:r>
          </w:p>
        </w:tc>
        <w:tc>
          <w:tcPr>
            <w:tcW w:type="pct" w:w="24%"/>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Approach doc + milestone quote for full engagement</w:t>
            </w:r>
          </w:p>
        </w:tc>
      </w:tr>
      <w:tr>
        <w:trPr>
          <w:cantSplit/>
        </w:trPr>
        <w:tc>
          <w:tcPr>
            <w:tcW w:type="pct" w:w="8%"/>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1.4.2</w:t>
            </w:r>
          </w:p>
        </w:tc>
        <w:tc>
          <w:tcPr>
            <w:tcW w:type="pct" w:w="27%"/>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Gate review G2: Validation to Build</w:t>
            </w:r>
          </w:p>
        </w:tc>
        <w:tc>
          <w:tcPr>
            <w:tcW w:type="pct" w:w="14%"/>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Zaid</w:t>
            </w:r>
          </w:p>
        </w:tc>
        <w:tc>
          <w:tcPr>
            <w:tcW w:type="pct" w:w="10%"/>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0.5 h</w:t>
            </w:r>
          </w:p>
        </w:tc>
        <w:tc>
          <w:tcPr>
            <w:tcW w:type="pct" w:w="15%"/>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After spike, target Dec 2026</w:t>
            </w:r>
          </w:p>
        </w:tc>
        <w:tc>
          <w:tcPr>
            <w:tcW w:type="pct" w:w="12%"/>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1.5.3</w:t>
            </w:r>
          </w:p>
        </w:tc>
        <w:tc>
          <w:tcPr>
            <w:tcW w:type="pct" w:w="24%"/>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Build decision inside Mario's funding</w:t>
            </w:r>
          </w:p>
        </w:tc>
      </w:tr>
    </w:tbl>
    <w:p>
      <w:pPr>
        <w:spacing w:after="160" w:before="60" w:line="312"/>
      </w:pPr>
      <w:r>
        <w:rPr>
          <w:rFonts w:ascii="Times New Roman" w:eastAsia="SimSun"/>
          <w:i/>
          <w:iCs/>
          <w:color w:val="6A7380"/>
          <w:sz w:val="20"/>
          <w:szCs w:val="20"/>
        </w:rPr>
        <w:t xml:space="preserve">Work packages 1.2.2 to 1.2.4 and 1.3.2 are the only places where the 20-hour cap can be exceeded - and only after the term sheet in 1.2.3 is signed, at which point the cap is replaced by the priced schedule in the term sheet.</w:t>
      </w:r>
    </w:p>
    <w:p>
      <w:pPr>
        <w:pStyle w:val="Heading2"/>
        <w:spacing w:after="140" w:before="280" w:line="312"/>
      </w:pPr>
      <w:bookmarkStart w:id="100010" w:name="_Toc100010"/>
      <w:r>
        <w:rPr>
          <w:rFonts w:ascii="Times New Roman" w:eastAsia="SimSun"/>
          <w:b/>
          <w:bCs/>
          <w:color w:val="1A2330"/>
          <w:sz w:val="28"/>
          <w:szCs w:val="28"/>
        </w:rPr>
        <w:t xml:space="preserve">5.3  Branch 2 - conditional build phase (outline only)</w:t>
      </w:r>
      <w:bookmarkEnd w:id="100010"/>
    </w:p>
    <w:p>
      <w:pPr>
        <w:spacing w:after="140" w:line="312"/>
        <w:jc w:val="left"/>
      </w:pPr>
      <w:r>
        <w:rPr>
          <w:rFonts w:ascii="Times New Roman" w:eastAsia="SimSun"/>
          <w:b w:val="false"/>
          <w:bCs w:val="false"/>
          <w:i w:val="false"/>
          <w:iCs w:val="false"/>
          <w:color w:val="000000"/>
          <w:sz w:val="24"/>
          <w:szCs w:val="24"/>
        </w:rPr>
        <w:t xml:space="preserve">Branch 2 is intentionally an outline. It becomes a scheduled plan only if gate G2 passes. Work package 2.1 builds the agreed slice - 2D drawing ingestion, parametric 3D generation with AI assist at the defined boundary, and the automated report - quoted per milestone. Work package 2.2 puts the working slice in front of real drawings used by someone other than Mario, which is the exit criterion for the Build-to-Market gate (2.3): if nobody real uses it after two demos, the engagement is reassessed with Mario rather than scaled.</w:t>
      </w:r>
    </w:p>
    <w:p>
      <w:pPr>
        <w:pStyle w:val="Heading2"/>
        <w:spacing w:after="140" w:before="280" w:line="312"/>
      </w:pPr>
      <w:bookmarkStart w:id="100011" w:name="_Toc100011"/>
      <w:r>
        <w:rPr>
          <w:rFonts w:ascii="Times New Roman" w:eastAsia="SimSun"/>
          <w:b/>
          <w:bCs/>
          <w:color w:val="1A2330"/>
          <w:sz w:val="28"/>
          <w:szCs w:val="28"/>
        </w:rPr>
        <w:t xml:space="preserve">5.4  WBS conventions</w:t>
      </w:r>
      <w:bookmarkEnd w:id="100011"/>
    </w:p>
    <w:p>
      <w:pPr>
        <w:spacing w:after="140" w:line="312"/>
        <w:jc w:val="left"/>
      </w:pPr>
      <w:r>
        <w:rPr>
          <w:rFonts w:ascii="Times New Roman" w:eastAsia="SimSun"/>
          <w:b w:val="false"/>
          <w:bCs w:val="false"/>
          <w:i w:val="false"/>
          <w:iCs w:val="false"/>
          <w:color w:val="000000"/>
          <w:sz w:val="24"/>
          <w:szCs w:val="24"/>
        </w:rPr>
        <w:t xml:space="preserve">Identifiers follow the project registers: actions carry ACT numbers, decisions carry DEC numbers, risks RSK numbers. The WBS numbering above is new to this plan and is the reference for tracking work packages during the visit and afterwards. A work package is done when its definition of done is met and the fact is logged - not when the activity merely happened.</w:t>
      </w:r>
    </w:p>
    <w:p>
      <w:pPr>
        <w:pStyle w:val="Heading1"/>
        <w:spacing w:after="200" w:before="400" w:line="312"/>
        <w:jc w:val="center"/>
      </w:pPr>
      <w:bookmarkStart w:id="100012" w:name="_Toc100012"/>
      <w:r>
        <w:rPr>
          <w:rFonts w:ascii="Times New Roman" w:eastAsia="SimSun"/>
          <w:b/>
          <w:bCs/>
          <w:color w:val="1A2330"/>
          <w:sz w:val="32"/>
          <w:szCs w:val="32"/>
        </w:rPr>
        <w:t xml:space="preserve">6  Phase Plans and Schedule</w:t>
      </w:r>
      <w:bookmarkEnd w:id="100012"/>
    </w:p>
    <w:p>
      <w:pPr>
        <w:pStyle w:val="Heading2"/>
        <w:spacing w:after="140" w:before="280" w:line="312"/>
      </w:pPr>
      <w:bookmarkStart w:id="100013" w:name="_Toc100013"/>
      <w:r>
        <w:rPr>
          <w:rFonts w:ascii="Times New Roman" w:eastAsia="SimSun"/>
          <w:b/>
          <w:bCs/>
          <w:color w:val="1A2330"/>
          <w:sz w:val="28"/>
          <w:szCs w:val="28"/>
        </w:rPr>
        <w:t xml:space="preserve">6.1  Phase 0 - concept assessment (complete)</w:t>
      </w:r>
      <w:bookmarkEnd w:id="100013"/>
    </w:p>
    <w:p>
      <w:pPr>
        <w:spacing w:after="140" w:line="312"/>
        <w:jc w:val="left"/>
      </w:pPr>
      <w:r>
        <w:rPr>
          <w:rFonts w:ascii="Times New Roman" w:eastAsia="SimSun"/>
          <w:b w:val="false"/>
          <w:bCs w:val="false"/>
          <w:i w:val="false"/>
          <w:iCs w:val="false"/>
          <w:color w:val="000000"/>
          <w:sz w:val="24"/>
          <w:szCs w:val="24"/>
        </w:rPr>
        <w:t xml:space="preserve">Phase 0 ran on 2026-09-12: the opportunity was opened in the portfolio, the two document links were recovered and filed with an export how-to, the registers were seeded (five actions, six risks, two decisions), and a provisional advisor assessment was written from titles and metadata. One hour of the cap was used. This plan is the closing artefact of phase 0.</w:t>
      </w:r>
    </w:p>
    <w:p>
      <w:pPr>
        <w:pStyle w:val="Heading2"/>
        <w:spacing w:after="140" w:before="280" w:line="312"/>
      </w:pPr>
      <w:bookmarkStart w:id="100014" w:name="_Toc100014"/>
      <w:r>
        <w:rPr>
          <w:rFonts w:ascii="Times New Roman" w:eastAsia="SimSun"/>
          <w:b/>
          <w:bCs/>
          <w:color w:val="1A2330"/>
          <w:sz w:val="28"/>
          <w:szCs w:val="28"/>
        </w:rPr>
        <w:t xml:space="preserve">6.2  Phase 1 - inputs and structure (current, gate 2026-10-03)</w:t>
      </w:r>
      <w:bookmarkEnd w:id="100014"/>
    </w:p>
    <w:p>
      <w:pPr>
        <w:spacing w:after="140" w:line="312"/>
        <w:jc w:val="left"/>
      </w:pPr>
      <w:r>
        <w:rPr>
          <w:rFonts w:ascii="Times New Roman" w:eastAsia="SimSun"/>
          <w:b w:val="false"/>
          <w:bCs w:val="false"/>
          <w:i w:val="false"/>
          <w:iCs w:val="false"/>
          <w:color w:val="000000"/>
          <w:sz w:val="24"/>
          <w:szCs w:val="24"/>
        </w:rPr>
        <w:t xml:space="preserve">Phase 1 is the commitment phase of the WBS. Next week's visit executes work packages 1.1.1, 1.1.2 and 1.2.1 in one sitting - export, samples, conversation - which is the cheapest unblocking sequence in the whole portfolio. The remainder of the phase (re-assessment, structure decision, term sheet, slice draft) completes remotely within the following two weeks. The phase ends at gate G1 on 2026-10-03.</w:t>
      </w:r>
    </w:p>
    <w:p>
      <w:pPr>
        <w:pStyle w:val="Heading2"/>
        <w:spacing w:after="140" w:before="280" w:line="312"/>
      </w:pPr>
      <w:bookmarkStart w:id="100015" w:name="_Toc100015"/>
      <w:r>
        <w:rPr>
          <w:rFonts w:ascii="Times New Roman" w:eastAsia="SimSun"/>
          <w:b/>
          <w:bCs/>
          <w:color w:val="1A2330"/>
          <w:sz w:val="28"/>
          <w:szCs w:val="28"/>
        </w:rPr>
        <w:t xml:space="preserve">6.3  Phase 2 - feasibility spike (October to November 2026)</w:t>
      </w:r>
      <w:bookmarkEnd w:id="100015"/>
    </w:p>
    <w:p>
      <w:pPr>
        <w:spacing w:after="140" w:line="312"/>
        <w:jc w:val="left"/>
      </w:pPr>
      <w:r>
        <w:rPr>
          <w:rFonts w:ascii="Times New Roman" w:eastAsia="SimSun"/>
          <w:b w:val="false"/>
          <w:bCs w:val="false"/>
          <w:i w:val="false"/>
          <w:iCs w:val="false"/>
          <w:color w:val="000000"/>
          <w:sz w:val="24"/>
          <w:szCs w:val="24"/>
        </w:rPr>
        <w:t xml:space="preserve">Phase 2 converts the engagement into paid work. The spike proposal goes out in the first week of October, the sale completes by 2026-10-31 (ACT-005), and delivery runs through November: a technical approach and an effort estimate for the real engagement, priced per milestone. The spike is deliberately small enough to sell and complete inside one month.</w:t>
      </w:r>
    </w:p>
    <w:p>
      <w:pPr>
        <w:pStyle w:val="Heading2"/>
        <w:spacing w:after="140" w:before="280" w:line="312"/>
      </w:pPr>
      <w:bookmarkStart w:id="100016" w:name="_Toc100016"/>
      <w:r>
        <w:rPr>
          <w:rFonts w:ascii="Times New Roman" w:eastAsia="SimSun"/>
          <w:b/>
          <w:bCs/>
          <w:color w:val="1A2330"/>
          <w:sz w:val="28"/>
          <w:szCs w:val="28"/>
        </w:rPr>
        <w:t xml:space="preserve">6.4  Phase 3 - validation to build (December 2026, conditional)</w:t>
      </w:r>
      <w:bookmarkEnd w:id="100016"/>
    </w:p>
    <w:p>
      <w:pPr>
        <w:spacing w:after="140" w:line="312"/>
        <w:jc w:val="left"/>
      </w:pPr>
      <w:r>
        <w:rPr>
          <w:rFonts w:ascii="Times New Roman" w:eastAsia="SimSun"/>
          <w:b w:val="false"/>
          <w:bCs w:val="false"/>
          <w:i w:val="false"/>
          <w:iCs w:val="false"/>
          <w:color w:val="000000"/>
          <w:sz w:val="24"/>
          <w:szCs w:val="24"/>
        </w:rPr>
        <w:t xml:space="preserve">Gate G2 asks one question: does the spike's effort estimate fit Mario's funding for a build worth doing? If yes, branch 2 is scheduled and the engagement becomes an active build bet in the portfolio. If no, the outcome is a scope reduction or a clean walk - the register's kill trigger for this gate.</w:t>
      </w:r>
    </w:p>
    <w:p>
      <w:pPr>
        <w:pStyle w:val="Heading2"/>
        <w:spacing w:after="140" w:before="280" w:line="312"/>
      </w:pPr>
      <w:bookmarkStart w:id="100017" w:name="_Toc100017"/>
      <w:r>
        <w:rPr>
          <w:rFonts w:ascii="Times New Roman" w:eastAsia="SimSun"/>
          <w:b/>
          <w:bCs/>
          <w:color w:val="1A2330"/>
          <w:sz w:val="28"/>
          <w:szCs w:val="28"/>
        </w:rPr>
        <w:t xml:space="preserve">6.5  Milestones</w:t>
      </w:r>
      <w:bookmarkEnd w:id="100017"/>
    </w:p>
    <w:p>
      <w:pPr>
        <w:keepNext/>
        <w:spacing w:after="80" w:before="160" w:line="312"/>
      </w:pPr>
      <w:r>
        <w:rPr>
          <w:rFonts w:ascii="Times New Roman" w:eastAsia="SimSun"/>
          <w:b/>
          <w:bCs/>
          <w:color w:val="1A2330"/>
          <w:sz w:val="21"/>
          <w:szCs w:val="21"/>
        </w:rPr>
        <w:t xml:space="preserve">Table 7 - Milestones and timeline</w:t>
      </w:r>
    </w:p>
    <w:tbl>
      <w:tblPr>
        <w:tblW w:type="pct" w:w="100%"/>
        <w:tblBorders>
          <w:top w:val="single" w:color="D4875A" w:sz="4"/>
          <w:left w:val="none"/>
          <w:bottom w:val="single" w:color="D4875A" w:sz="4"/>
          <w:right w:val="none"/>
          <w:insideH w:val="single" w:color="DDD0C8" w:sz="1"/>
          <w:insideV w:val="none"/>
        </w:tblBorders>
      </w:tblPr>
      <w:tblGrid>
        <w:gridCol w:w="100"/>
        <w:gridCol w:w="100"/>
        <w:gridCol w:w="100"/>
      </w:tblGrid>
      <w:tr>
        <w:trPr>
          <w:cantSplit/>
          <w:tblHeader/>
        </w:trPr>
        <w:tc>
          <w:tcPr>
            <w:tcW w:type="pct" w:w="22%"/>
            <w:shd w:fill="D4875A" w:val="clear"/>
            <w:tcMar>
              <w:top w:type="dxa" w:w="70"/>
              <w:left w:type="dxa" w:w="110"/>
              <w:bottom w:type="dxa" w:w="70"/>
              <w:right w:type="dxa" w:w="110"/>
            </w:tcMar>
          </w:tcPr>
          <w:p>
            <w:pPr>
              <w:spacing w:line="276"/>
            </w:pPr>
            <w:r>
              <w:rPr>
                <w:rFonts w:ascii="Times New Roman" w:eastAsia="SimSun"/>
                <w:b/>
                <w:bCs/>
                <w:color w:val="FFFFFF"/>
                <w:sz w:val="20"/>
                <w:szCs w:val="20"/>
              </w:rPr>
              <w:t xml:space="preserve">Date</w:t>
            </w:r>
          </w:p>
        </w:tc>
        <w:tc>
          <w:tcPr>
            <w:tcW w:type="pct" w:w="50%"/>
            <w:shd w:fill="D4875A" w:val="clear"/>
            <w:tcMar>
              <w:top w:type="dxa" w:w="70"/>
              <w:left w:type="dxa" w:w="110"/>
              <w:bottom w:type="dxa" w:w="70"/>
              <w:right w:type="dxa" w:w="110"/>
            </w:tcMar>
          </w:tcPr>
          <w:p>
            <w:pPr>
              <w:spacing w:line="276"/>
            </w:pPr>
            <w:r>
              <w:rPr>
                <w:rFonts w:ascii="Times New Roman" w:eastAsia="SimSun"/>
                <w:b/>
                <w:bCs/>
                <w:color w:val="FFFFFF"/>
                <w:sz w:val="20"/>
                <w:szCs w:val="20"/>
              </w:rPr>
              <w:t xml:space="preserve">Milestone</w:t>
            </w:r>
          </w:p>
        </w:tc>
        <w:tc>
          <w:tcPr>
            <w:tcW w:type="pct" w:w="28%"/>
            <w:shd w:fill="D4875A" w:val="clear"/>
            <w:tcMar>
              <w:top w:type="dxa" w:w="70"/>
              <w:left w:type="dxa" w:w="110"/>
              <w:bottom w:type="dxa" w:w="70"/>
              <w:right w:type="dxa" w:w="110"/>
            </w:tcMar>
          </w:tcPr>
          <w:p>
            <w:pPr>
              <w:spacing w:line="276"/>
            </w:pPr>
            <w:r>
              <w:rPr>
                <w:rFonts w:ascii="Times New Roman" w:eastAsia="SimSun"/>
                <w:b/>
                <w:bCs/>
                <w:color w:val="FFFFFF"/>
                <w:sz w:val="20"/>
                <w:szCs w:val="20"/>
              </w:rPr>
              <w:t xml:space="preserve">Register anchor</w:t>
            </w:r>
          </w:p>
        </w:tc>
      </w:tr>
      <w:tr>
        <w:trPr>
          <w:cantSplit/>
        </w:trPr>
        <w:tc>
          <w:tcPr>
            <w:tcW w:type="pct" w:w="22%"/>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Next week (w/c 2026-09-14)</w:t>
            </w:r>
          </w:p>
        </w:tc>
        <w:tc>
          <w:tcPr>
            <w:tcW w:type="pct" w:w="50%"/>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Documents exported, samples collected, scope conversation held</w:t>
            </w:r>
          </w:p>
        </w:tc>
        <w:tc>
          <w:tcPr>
            <w:tcW w:type="pct" w:w="28%"/>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ACT-001, ACT-002 (early)</w:t>
            </w:r>
          </w:p>
        </w:tc>
      </w:tr>
      <w:tr>
        <w:trPr>
          <w:cantSplit/>
        </w:trPr>
        <w:tc>
          <w:tcPr>
            <w:tcW w:type="pct" w:w="22%"/>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2026-09-26</w:t>
            </w:r>
          </w:p>
        </w:tc>
        <w:tc>
          <w:tcPr>
            <w:tcW w:type="pct" w:w="50%"/>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Documents target date (already met if next week goes to plan)</w:t>
            </w:r>
          </w:p>
        </w:tc>
        <w:tc>
          <w:tcPr>
            <w:tcW w:type="pct" w:w="28%"/>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ACT-001 due</w:t>
            </w:r>
          </w:p>
        </w:tc>
      </w:tr>
      <w:tr>
        <w:trPr>
          <w:cantSplit/>
        </w:trPr>
        <w:tc>
          <w:tcPr>
            <w:tcW w:type="pct" w:w="22%"/>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2026-10-03</w:t>
            </w:r>
          </w:p>
        </w:tc>
        <w:tc>
          <w:tcPr>
            <w:tcW w:type="pct" w:w="50%"/>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Gate G1 + deal structure agreed in writing</w:t>
            </w:r>
          </w:p>
        </w:tc>
        <w:tc>
          <w:tcPr>
            <w:tcW w:type="pct" w:w="28%"/>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ACT-002, ACT-003, next_gate</w:t>
            </w:r>
          </w:p>
        </w:tc>
      </w:tr>
      <w:tr>
        <w:trPr>
          <w:cantSplit/>
        </w:trPr>
        <w:tc>
          <w:tcPr>
            <w:tcW w:type="pct" w:w="22%"/>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2026-10-10</w:t>
            </w:r>
          </w:p>
        </w:tc>
        <w:tc>
          <w:tcPr>
            <w:tcW w:type="pct" w:w="50%"/>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MVP slice definition final</w:t>
            </w:r>
          </w:p>
        </w:tc>
        <w:tc>
          <w:tcPr>
            <w:tcW w:type="pct" w:w="28%"/>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ACT-004 due</w:t>
            </w:r>
          </w:p>
        </w:tc>
      </w:tr>
      <w:tr>
        <w:trPr>
          <w:cantSplit/>
        </w:trPr>
        <w:tc>
          <w:tcPr>
            <w:tcW w:type="pct" w:w="22%"/>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2026-10-31</w:t>
            </w:r>
          </w:p>
        </w:tc>
        <w:tc>
          <w:tcPr>
            <w:tcW w:type="pct" w:w="50%"/>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Paid feasibility spike sold</w:t>
            </w:r>
          </w:p>
        </w:tc>
        <w:tc>
          <w:tcPr>
            <w:tcW w:type="pct" w:w="28%"/>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ACT-005 due</w:t>
            </w:r>
          </w:p>
        </w:tc>
      </w:tr>
      <w:tr>
        <w:trPr>
          <w:cantSplit/>
        </w:trPr>
        <w:tc>
          <w:tcPr>
            <w:tcW w:type="pct" w:w="22%"/>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November 2026</w:t>
            </w:r>
          </w:p>
        </w:tc>
        <w:tc>
          <w:tcPr>
            <w:tcW w:type="pct" w:w="50%"/>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Spike delivered: technical approach + effort estimate</w:t>
            </w:r>
          </w:p>
        </w:tc>
        <w:tc>
          <w:tcPr>
            <w:tcW w:type="pct" w:w="28%"/>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Work package 1.5.3</w:t>
            </w:r>
          </w:p>
        </w:tc>
      </w:tr>
      <w:tr>
        <w:trPr>
          <w:cantSplit/>
        </w:trPr>
        <w:tc>
          <w:tcPr>
            <w:tcW w:type="pct" w:w="22%"/>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December 2026</w:t>
            </w:r>
          </w:p>
        </w:tc>
        <w:tc>
          <w:tcPr>
            <w:tcW w:type="pct" w:w="50%"/>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Gate G2: validation to build decision</w:t>
            </w:r>
          </w:p>
        </w:tc>
        <w:tc>
          <w:tcPr>
            <w:tcW w:type="pct" w:w="28%"/>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Framework re-score</w:t>
            </w:r>
          </w:p>
        </w:tc>
      </w:tr>
    </w:tbl>
    <w:p>
      <w:pPr>
        <w:pStyle w:val="Heading2"/>
        <w:spacing w:after="140" w:before="280" w:line="312"/>
      </w:pPr>
      <w:bookmarkStart w:id="100018" w:name="_Toc100018"/>
      <w:r>
        <w:rPr>
          <w:rFonts w:ascii="Times New Roman" w:eastAsia="SimSun"/>
          <w:b/>
          <w:bCs/>
          <w:color w:val="1A2330"/>
          <w:sz w:val="28"/>
          <w:szCs w:val="28"/>
        </w:rPr>
        <w:t xml:space="preserve">6.6  Open date conflict (ISS-03) and proposed resolution</w:t>
      </w:r>
      <w:bookmarkEnd w:id="100018"/>
    </w:p>
    <w:p>
      <w:pPr>
        <w:spacing w:after="140" w:line="312"/>
        <w:jc w:val="left"/>
      </w:pPr>
      <w:r>
        <w:rPr>
          <w:rFonts w:ascii="Times New Roman" w:eastAsia="SimSun"/>
          <w:b w:val="false"/>
          <w:bCs w:val="false"/>
          <w:i w:val="false"/>
          <w:iCs w:val="false"/>
          <w:color w:val="000000"/>
          <w:sz w:val="24"/>
          <w:szCs w:val="24"/>
        </w:rPr>
        <w:t xml:space="preserve">The registers carry a known conflict, logged as ISS-03: the gate falls due on 2026-10-03, but the MVP-slice action is dated 2026-10-10 and the spike sale 2026-10-31 - both after the gate they serve. The working resolution proposed by this plan, for Zaid's decision at the visit: hold gate G1 on 2026-10-03 against the criteria it can truthfully assess (documents read, conversation held, structure written, slice selected in draft), record the slice finalisation as a gated follow-on due 2026-10-10, and treat the spike sale as the first validation-stage action due 2026-10-31. This keeps the register dates intact and the gate honest; if Zaid prefers a hard gate on all four criteria, the gate date moves rather than the criteria dilute - decide explicitly rather than drift.</w:t>
      </w:r>
    </w:p>
    <w:p>
      <w:pPr>
        <w:pStyle w:val="Heading1"/>
        <w:spacing w:after="200" w:before="400" w:line="312"/>
        <w:jc w:val="center"/>
      </w:pPr>
      <w:bookmarkStart w:id="100019" w:name="_Toc100019"/>
      <w:r>
        <w:rPr>
          <w:rFonts w:ascii="Times New Roman" w:eastAsia="SimSun"/>
          <w:b/>
          <w:bCs/>
          <w:color w:val="1A2330"/>
          <w:sz w:val="32"/>
          <w:szCs w:val="32"/>
        </w:rPr>
        <w:t xml:space="preserve">7  Next Week at Mario's - Session Plans</w:t>
      </w:r>
      <w:bookmarkEnd w:id="100019"/>
    </w:p>
    <w:p>
      <w:pPr>
        <w:spacing w:after="140" w:line="312"/>
        <w:jc w:val="left"/>
      </w:pPr>
      <w:r>
        <w:rPr>
          <w:rFonts w:ascii="Times New Roman" w:eastAsia="SimSun"/>
          <w:b w:val="false"/>
          <w:bCs w:val="false"/>
          <w:i w:val="false"/>
          <w:iCs w:val="false"/>
          <w:color w:val="000000"/>
          <w:sz w:val="24"/>
          <w:szCs w:val="24"/>
        </w:rPr>
        <w:t xml:space="preserve">This section is the operating manual for the visit. Three sessions, in order; sessions B and C need Mario's time, session A only needs his computer and sign-in. Budget roughly half a day in total.</w:t>
      </w:r>
    </w:p>
    <w:p>
      <w:pPr>
        <w:pStyle w:val="Heading2"/>
        <w:spacing w:after="140" w:before="280" w:line="312"/>
      </w:pPr>
      <w:bookmarkStart w:id="100020" w:name="_Toc100020"/>
      <w:r>
        <w:rPr>
          <w:rFonts w:ascii="Times New Roman" w:eastAsia="SimSun"/>
          <w:b/>
          <w:bCs/>
          <w:color w:val="1A2330"/>
          <w:sz w:val="28"/>
          <w:szCs w:val="28"/>
        </w:rPr>
        <w:t xml:space="preserve">7.1  What to bring</w:t>
      </w:r>
      <w:bookmarkEnd w:id="100020"/>
    </w:p>
    <w:p>
      <w:pPr>
        <w:pStyle w:val="ListParagraph"/>
        <w:numPr>
          <w:ilvl w:val="0"/>
          <w:numId w:val="2"/>
        </w:numPr>
        <w:spacing w:after="80" w:line="312"/>
      </w:pPr>
      <w:r>
        <w:rPr>
          <w:rFonts w:ascii="Times New Roman" w:eastAsia="SimSun"/>
          <w:sz w:val="24"/>
          <w:szCs w:val="24"/>
        </w:rPr>
        <w:t xml:space="preserve">This document (printed or on the USB stick) and the USB stick itself for carrying exports back.</w:t>
      </w:r>
    </w:p>
    <w:p>
      <w:pPr>
        <w:pStyle w:val="ListParagraph"/>
        <w:numPr>
          <w:ilvl w:val="0"/>
          <w:numId w:val="2"/>
        </w:numPr>
        <w:spacing w:after="80" w:line="312"/>
      </w:pPr>
      <w:r>
        <w:rPr>
          <w:rFonts w:ascii="Times New Roman" w:eastAsia="SimSun"/>
          <w:sz w:val="24"/>
          <w:szCs w:val="24"/>
        </w:rPr>
        <w:t xml:space="preserve">The two document URLs (printed in Section 7.2) - they are also in 04_Inputs/GDOC_LINKS.md on the portal.</w:t>
      </w:r>
    </w:p>
    <w:p>
      <w:pPr>
        <w:pStyle w:val="ListParagraph"/>
        <w:numPr>
          <w:ilvl w:val="0"/>
          <w:numId w:val="2"/>
        </w:numPr>
        <w:spacing w:after="80" w:line="312"/>
      </w:pPr>
      <w:r>
        <w:rPr>
          <w:rFonts w:ascii="Times New Roman" w:eastAsia="SimSun"/>
          <w:sz w:val="24"/>
          <w:szCs w:val="24"/>
        </w:rPr>
        <w:t xml:space="preserve">The hours tracker open (Section 10): visit hours count against the 20-hour cap.</w:t>
      </w:r>
    </w:p>
    <w:p>
      <w:pPr>
        <w:pStyle w:val="ListParagraph"/>
        <w:numPr>
          <w:ilvl w:val="0"/>
          <w:numId w:val="2"/>
        </w:numPr>
        <w:spacing w:after="80" w:line="312"/>
      </w:pPr>
      <w:r>
        <w:rPr>
          <w:rFonts w:ascii="Times New Roman" w:eastAsia="SimSun"/>
          <w:sz w:val="24"/>
          <w:szCs w:val="24"/>
        </w:rPr>
        <w:t xml:space="preserve">A blank capture sheet (Section 7.3) - print two copies in case the conversation runs long.</w:t>
      </w:r>
    </w:p>
    <w:p>
      <w:pPr>
        <w:pStyle w:val="Heading2"/>
        <w:spacing w:after="140" w:before="280" w:line="312"/>
      </w:pPr>
      <w:bookmarkStart w:id="100021" w:name="_Toc100021"/>
      <w:r>
        <w:rPr>
          <w:rFonts w:ascii="Times New Roman" w:eastAsia="SimSun"/>
          <w:b/>
          <w:bCs/>
          <w:color w:val="1A2330"/>
          <w:sz w:val="28"/>
          <w:szCs w:val="28"/>
        </w:rPr>
        <w:t xml:space="preserve">7.2  Session A - export the framework documents (30-45 minutes)</w:t>
      </w:r>
      <w:bookmarkEnd w:id="100021"/>
    </w:p>
    <w:p>
      <w:pPr>
        <w:spacing w:after="140" w:line="312"/>
        <w:jc w:val="left"/>
      </w:pPr>
      <w:r>
        <w:rPr>
          <w:rFonts w:ascii="Times New Roman" w:eastAsia="SimSun"/>
          <w:b w:val="false"/>
          <w:bCs w:val="false"/>
          <w:i w:val="false"/>
          <w:iCs w:val="false"/>
          <w:color w:val="000000"/>
          <w:sz w:val="24"/>
          <w:szCs w:val="24"/>
        </w:rPr>
        <w:t xml:space="preserve">The documents live in Mario's Google Drive and are private; this session is the one place they can be exported. On Mario's computer, signed into his Google account:</w:t>
      </w:r>
    </w:p>
    <w:p>
      <w:pPr>
        <w:pStyle w:val="ListParagraph"/>
        <w:numPr>
          <w:ilvl w:val="0"/>
          <w:numId w:val="3"/>
        </w:numPr>
        <w:spacing w:after="80" w:line="312"/>
      </w:pPr>
      <w:r>
        <w:rPr>
          <w:rFonts w:ascii="Times New Roman" w:eastAsia="SimSun"/>
          <w:sz w:val="24"/>
          <w:szCs w:val="24"/>
        </w:rPr>
        <w:t xml:space="preserve">Open the first URL: https://docs.google.com/document/d/1id-u-7OmFUvWuviULkmcrhFTbhEYsFP5BRFiiLRSbLs/edit</w:t>
      </w:r>
    </w:p>
    <w:p>
      <w:pPr>
        <w:pStyle w:val="ListParagraph"/>
        <w:numPr>
          <w:ilvl w:val="0"/>
          <w:numId w:val="3"/>
        </w:numPr>
        <w:spacing w:after="80" w:line="312"/>
      </w:pPr>
      <w:r>
        <w:rPr>
          <w:rFonts w:ascii="Times New Roman" w:eastAsia="SimSun"/>
          <w:sz w:val="24"/>
          <w:szCs w:val="24"/>
        </w:rPr>
        <w:t xml:space="preserve">Choose File, then Download, then Microsoft Word (.docx).</w:t>
      </w:r>
    </w:p>
    <w:p>
      <w:pPr>
        <w:pStyle w:val="ListParagraph"/>
        <w:numPr>
          <w:ilvl w:val="0"/>
          <w:numId w:val="3"/>
        </w:numPr>
        <w:spacing w:after="80" w:line="312"/>
      </w:pPr>
      <w:r>
        <w:rPr>
          <w:rFonts w:ascii="Times New Roman" w:eastAsia="SimSun"/>
          <w:sz w:val="24"/>
          <w:szCs w:val="24"/>
        </w:rPr>
        <w:t xml:space="preserve">Save to the USB stick. Repeat for the second URL: https://docs.google.com/document/d/1mhAnWBf2kvbDEJzxnp_y9phcEHnysdx_BhakwcMYhdo/edit</w:t>
      </w:r>
    </w:p>
    <w:p>
      <w:pPr>
        <w:pStyle w:val="ListParagraph"/>
        <w:numPr>
          <w:ilvl w:val="0"/>
          <w:numId w:val="3"/>
        </w:numPr>
        <w:spacing w:after="80" w:line="312"/>
      </w:pPr>
      <w:r>
        <w:rPr>
          <w:rFonts w:ascii="Times New Roman" w:eastAsia="SimSun"/>
          <w:sz w:val="24"/>
          <w:szCs w:val="24"/>
        </w:rPr>
        <w:t xml:space="preserve">Open each downloaded file once to confirm it opens and is complete (each is roughly 11-12 KB of text, last edited 2026-09-11).</w:t>
      </w:r>
    </w:p>
    <w:p>
      <w:pPr>
        <w:pStyle w:val="ListParagraph"/>
        <w:numPr>
          <w:ilvl w:val="0"/>
          <w:numId w:val="3"/>
        </w:numPr>
        <w:spacing w:after="80" w:line="312"/>
      </w:pPr>
      <w:r>
        <w:rPr>
          <w:rFonts w:ascii="Times New Roman" w:eastAsia="SimSun"/>
          <w:sz w:val="24"/>
          <w:szCs w:val="24"/>
        </w:rPr>
        <w:t xml:space="preserve">Ask Mario for 3-5 sample drawing files of the family he most wants automated; copy them to the USB stick beside the documents (work package 1.1.2).</w:t>
      </w:r>
    </w:p>
    <w:p>
      <w:pPr>
        <w:pStyle w:val="ListParagraph"/>
        <w:numPr>
          <w:ilvl w:val="0"/>
          <w:numId w:val="3"/>
        </w:numPr>
        <w:spacing w:after="80" w:line="312"/>
      </w:pPr>
      <w:r>
        <w:rPr>
          <w:rFonts w:ascii="Times New Roman" w:eastAsia="SimSun"/>
          <w:sz w:val="24"/>
          <w:szCs w:val="24"/>
        </w:rPr>
        <w:t xml:space="preserve">Back home, copy both files into projects/Mario Software/04_Inputs/ on the workspace, then log the action: python tools/update_progress.py mario-software --note "Both docs exported and read" (ACT-001 closes early).</w:t>
      </w:r>
    </w:p>
    <w:p>
      <w:pPr>
        <w:pStyle w:val="Heading2"/>
        <w:spacing w:after="140" w:before="280" w:line="312"/>
      </w:pPr>
      <w:bookmarkStart w:id="100022" w:name="_Toc100022"/>
      <w:r>
        <w:rPr>
          <w:rFonts w:ascii="Times New Roman" w:eastAsia="SimSun"/>
          <w:b/>
          <w:bCs/>
          <w:color w:val="1A2330"/>
          <w:sz w:val="28"/>
          <w:szCs w:val="28"/>
        </w:rPr>
        <w:t xml:space="preserve">7.3  Session B - the scope conversation (60 minutes)</w:t>
      </w:r>
      <w:bookmarkEnd w:id="100022"/>
    </w:p>
    <w:p>
      <w:pPr>
        <w:spacing w:after="140" w:line="312"/>
        <w:jc w:val="left"/>
      </w:pPr>
      <w:r>
        <w:rPr>
          <w:rFonts w:ascii="Times New Roman" w:eastAsia="SimSun"/>
          <w:b w:val="false"/>
          <w:bCs w:val="false"/>
          <w:i w:val="false"/>
          <w:iCs w:val="false"/>
          <w:color w:val="000000"/>
          <w:sz w:val="24"/>
          <w:szCs w:val="24"/>
        </w:rPr>
        <w:t xml:space="preserve">One structured hour with Mario. The agenda has eight questions in priority order; if time runs short, questions one to five are the ones the gate depends on. Capture answers in the sheet below as they come - the point is evidence, not flow.</w:t>
      </w:r>
    </w:p>
    <w:p>
      <w:pPr>
        <w:keepNext/>
        <w:spacing w:after="80" w:before="160" w:line="312"/>
      </w:pPr>
      <w:r>
        <w:rPr>
          <w:rFonts w:ascii="Times New Roman" w:eastAsia="SimSun"/>
          <w:b/>
          <w:bCs/>
          <w:color w:val="1A2330"/>
          <w:sz w:val="21"/>
          <w:szCs w:val="21"/>
        </w:rPr>
        <w:t xml:space="preserve">Table 8 - Conversation agenda</w:t>
      </w:r>
    </w:p>
    <w:tbl>
      <w:tblPr>
        <w:tblW w:type="pct" w:w="100%"/>
        <w:tblBorders>
          <w:top w:val="single" w:color="D4875A" w:sz="4"/>
          <w:left w:val="none"/>
          <w:bottom w:val="single" w:color="D4875A" w:sz="4"/>
          <w:right w:val="none"/>
          <w:insideH w:val="single" w:color="DDD0C8" w:sz="1"/>
          <w:insideV w:val="none"/>
        </w:tblBorders>
      </w:tblPr>
      <w:tblGrid>
        <w:gridCol w:w="100"/>
        <w:gridCol w:w="100"/>
        <w:gridCol w:w="100"/>
      </w:tblGrid>
      <w:tr>
        <w:trPr>
          <w:cantSplit/>
          <w:tblHeader/>
        </w:trPr>
        <w:tc>
          <w:tcPr>
            <w:tcW w:type="pct" w:w="6%"/>
            <w:shd w:fill="D4875A" w:val="clear"/>
            <w:tcMar>
              <w:top w:type="dxa" w:w="70"/>
              <w:left w:type="dxa" w:w="110"/>
              <w:bottom w:type="dxa" w:w="70"/>
              <w:right w:type="dxa" w:w="110"/>
            </w:tcMar>
          </w:tcPr>
          <w:p>
            <w:pPr>
              <w:spacing w:line="276"/>
            </w:pPr>
            <w:r>
              <w:rPr>
                <w:rFonts w:ascii="Times New Roman" w:eastAsia="SimSun"/>
                <w:b/>
                <w:bCs/>
                <w:color w:val="FFFFFF"/>
                <w:sz w:val="20"/>
                <w:szCs w:val="20"/>
              </w:rPr>
              <w:t xml:space="preserve">#</w:t>
            </w:r>
          </w:p>
        </w:tc>
        <w:tc>
          <w:tcPr>
            <w:tcW w:type="pct" w:w="52%"/>
            <w:shd w:fill="D4875A" w:val="clear"/>
            <w:tcMar>
              <w:top w:type="dxa" w:w="70"/>
              <w:left w:type="dxa" w:w="110"/>
              <w:bottom w:type="dxa" w:w="70"/>
              <w:right w:type="dxa" w:w="110"/>
            </w:tcMar>
          </w:tcPr>
          <w:p>
            <w:pPr>
              <w:spacing w:line="276"/>
            </w:pPr>
            <w:r>
              <w:rPr>
                <w:rFonts w:ascii="Times New Roman" w:eastAsia="SimSun"/>
                <w:b/>
                <w:bCs/>
                <w:color w:val="FFFFFF"/>
                <w:sz w:val="20"/>
                <w:szCs w:val="20"/>
              </w:rPr>
              <w:t xml:space="preserve">Question</w:t>
            </w:r>
          </w:p>
        </w:tc>
        <w:tc>
          <w:tcPr>
            <w:tcW w:type="pct" w:w="42%"/>
            <w:shd w:fill="D4875A" w:val="clear"/>
            <w:tcMar>
              <w:top w:type="dxa" w:w="70"/>
              <w:left w:type="dxa" w:w="110"/>
              <w:bottom w:type="dxa" w:w="70"/>
              <w:right w:type="dxa" w:w="110"/>
            </w:tcMar>
          </w:tcPr>
          <w:p>
            <w:pPr>
              <w:spacing w:line="276"/>
            </w:pPr>
            <w:r>
              <w:rPr>
                <w:rFonts w:ascii="Times New Roman" w:eastAsia="SimSun"/>
                <w:b/>
                <w:bCs/>
                <w:color w:val="FFFFFF"/>
                <w:sz w:val="20"/>
                <w:szCs w:val="20"/>
              </w:rPr>
              <w:t xml:space="preserve">Why it matters</w:t>
            </w:r>
          </w:p>
        </w:tc>
      </w:tr>
      <w:tr>
        <w:trPr>
          <w:cantSplit/>
        </w:trPr>
        <w:tc>
          <w:tcPr>
            <w:tcW w:type="pct" w:w="6%"/>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1</w:t>
            </w:r>
          </w:p>
        </w:tc>
        <w:tc>
          <w:tcPr>
            <w:tcW w:type="pct" w:w="52%"/>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Who is the target user, and in which domain (AEC, manufacturing, infrastructure)?</w:t>
            </w:r>
          </w:p>
        </w:tc>
        <w:tc>
          <w:tcPr>
            <w:tcW w:type="pct" w:w="42%"/>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Everything downstream - slice, pricing, market - depends on who buys this.</w:t>
            </w:r>
          </w:p>
        </w:tc>
      </w:tr>
      <w:tr>
        <w:trPr>
          <w:cantSplit/>
        </w:trPr>
        <w:tc>
          <w:tcPr>
            <w:tcW w:type="pct" w:w="6%"/>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2</w:t>
            </w:r>
          </w:p>
        </w:tc>
        <w:tc>
          <w:tcPr>
            <w:tcW w:type="pct" w:w="52%"/>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What drawing types and families does the user actually produce? Which is most repetitive?</w:t>
            </w:r>
          </w:p>
        </w:tc>
        <w:tc>
          <w:tcPr>
            <w:tcW w:type="pct" w:w="42%"/>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Selects the MVP slice family (work package 1.3.1).</w:t>
            </w:r>
          </w:p>
        </w:tc>
      </w:tr>
      <w:tr>
        <w:trPr>
          <w:cantSplit/>
        </w:trPr>
        <w:tc>
          <w:tcPr>
            <w:tcW w:type="pct" w:w="6%"/>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3</w:t>
            </w:r>
          </w:p>
        </w:tc>
        <w:tc>
          <w:tcPr>
            <w:tcW w:type="pct" w:w="52%"/>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Does the framework imagine fully automatic reconstruction, or AI-assisted with human review?</w:t>
            </w:r>
          </w:p>
        </w:tc>
        <w:tc>
          <w:tcPr>
            <w:tcW w:type="pct" w:w="42%"/>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Dec-002 kill trigger: research-grade ambition with no funding means walk.</w:t>
            </w:r>
          </w:p>
        </w:tc>
      </w:tr>
      <w:tr>
        <w:trPr>
          <w:cantSplit/>
        </w:trPr>
        <w:tc>
          <w:tcPr>
            <w:tcW w:type="pct" w:w="6%"/>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4</w:t>
            </w:r>
          </w:p>
        </w:tc>
        <w:tc>
          <w:tcPr>
            <w:tcW w:type="pct" w:w="52%"/>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What funding exists for development, and on what timeline?</w:t>
            </w:r>
          </w:p>
        </w:tc>
        <w:tc>
          <w:tcPr>
            <w:tcW w:type="pct" w:w="42%"/>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Determines whether paid development is real (DEC-001 sensitivity) and the spike price.</w:t>
            </w:r>
          </w:p>
        </w:tc>
      </w:tr>
      <w:tr>
        <w:trPr>
          <w:cantSplit/>
        </w:trPr>
        <w:tc>
          <w:tcPr>
            <w:tcW w:type="pct" w:w="6%"/>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5</w:t>
            </w:r>
          </w:p>
        </w:tc>
        <w:tc>
          <w:tcPr>
            <w:tcW w:type="pct" w:w="52%"/>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What time does Mario commit, and what exactly does he expect from Zaid?</w:t>
            </w:r>
          </w:p>
        </w:tc>
        <w:tc>
          <w:tcPr>
            <w:tcW w:type="pct" w:w="42%"/>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Key-person and expectation risk (RSK-005); defines the real team.</w:t>
            </w:r>
          </w:p>
        </w:tc>
      </w:tr>
      <w:tr>
        <w:trPr>
          <w:cantSplit/>
        </w:trPr>
        <w:tc>
          <w:tcPr>
            <w:tcW w:type="pct" w:w="6%"/>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6</w:t>
            </w:r>
          </w:p>
        </w:tc>
        <w:tc>
          <w:tcPr>
            <w:tcW w:type="pct" w:w="52%"/>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Who owns code and methodology if the collaboration continues - or ends?</w:t>
            </w:r>
          </w:p>
        </w:tc>
        <w:tc>
          <w:tcPr>
            <w:tcW w:type="pct" w:w="42%"/>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IP terms for the term sheet (RSK-003).</w:t>
            </w:r>
          </w:p>
        </w:tc>
      </w:tr>
      <w:tr>
        <w:trPr>
          <w:cantSplit/>
        </w:trPr>
        <w:tc>
          <w:tcPr>
            <w:tcW w:type="pct" w:w="6%"/>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7</w:t>
            </w:r>
          </w:p>
        </w:tc>
        <w:tc>
          <w:tcPr>
            <w:tcW w:type="pct" w:w="52%"/>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What does success look like in six months, in Mario's words?</w:t>
            </w:r>
          </w:p>
        </w:tc>
        <w:tc>
          <w:tcPr>
            <w:tcW w:type="pct" w:w="42%"/>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Alignment check; often surfaces unstated expectations.</w:t>
            </w:r>
          </w:p>
        </w:tc>
      </w:tr>
      <w:tr>
        <w:trPr>
          <w:cantSplit/>
        </w:trPr>
        <w:tc>
          <w:tcPr>
            <w:tcW w:type="pct" w:w="6%"/>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8</w:t>
            </w:r>
          </w:p>
        </w:tc>
        <w:tc>
          <w:tcPr>
            <w:tcW w:type="pct" w:w="52%"/>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What is the reporting system supposed to produce, and for whom?</w:t>
            </w:r>
          </w:p>
        </w:tc>
        <w:tc>
          <w:tcPr>
            <w:tcW w:type="pct" w:w="42%"/>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Scope of the report half of the slice.</w:t>
            </w:r>
          </w:p>
        </w:tc>
      </w:tr>
    </w:tbl>
    <w:p>
      <w:pPr>
        <w:keepNext/>
        <w:spacing w:after="80" w:before="160" w:line="312"/>
      </w:pPr>
      <w:r>
        <w:rPr>
          <w:rFonts w:ascii="Times New Roman" w:eastAsia="SimSun"/>
          <w:b/>
          <w:bCs/>
          <w:color w:val="1A2330"/>
          <w:sz w:val="21"/>
          <w:szCs w:val="21"/>
        </w:rPr>
        <w:t xml:space="preserve">Table 9 - Capture sheet (fill in during the conversation)</w:t>
      </w:r>
    </w:p>
    <w:tbl>
      <w:tblPr>
        <w:tblW w:type="pct" w:w="100%"/>
        <w:tblBorders>
          <w:top w:val="single" w:color="D4875A" w:sz="4"/>
          <w:left w:val="none"/>
          <w:bottom w:val="single" w:color="D4875A" w:sz="4"/>
          <w:right w:val="none"/>
          <w:insideH w:val="single" w:color="DDD0C8" w:sz="1"/>
          <w:insideV w:val="none"/>
        </w:tblBorders>
      </w:tblPr>
      <w:tblGrid>
        <w:gridCol w:w="100"/>
        <w:gridCol w:w="100"/>
      </w:tblGrid>
      <w:tr>
        <w:trPr>
          <w:cantSplit/>
          <w:tblHeader/>
        </w:trPr>
        <w:tc>
          <w:tcPr>
            <w:tcW w:type="pct" w:w="40%"/>
            <w:shd w:fill="D4875A" w:val="clear"/>
            <w:tcMar>
              <w:top w:type="dxa" w:w="70"/>
              <w:left w:type="dxa" w:w="110"/>
              <w:bottom w:type="dxa" w:w="70"/>
              <w:right w:type="dxa" w:w="110"/>
            </w:tcMar>
          </w:tcPr>
          <w:p>
            <w:pPr>
              <w:spacing w:line="276"/>
            </w:pPr>
            <w:r>
              <w:rPr>
                <w:rFonts w:ascii="Times New Roman" w:eastAsia="SimSun"/>
                <w:b/>
                <w:bCs/>
                <w:color w:val="FFFFFF"/>
                <w:sz w:val="20"/>
                <w:szCs w:val="20"/>
              </w:rPr>
              <w:t xml:space="preserve">Field</w:t>
            </w:r>
          </w:p>
        </w:tc>
        <w:tc>
          <w:tcPr>
            <w:tcW w:type="pct" w:w="60%"/>
            <w:shd w:fill="D4875A" w:val="clear"/>
            <w:tcMar>
              <w:top w:type="dxa" w:w="70"/>
              <w:left w:type="dxa" w:w="110"/>
              <w:bottom w:type="dxa" w:w="70"/>
              <w:right w:type="dxa" w:w="110"/>
            </w:tcMar>
          </w:tcPr>
          <w:p>
            <w:pPr>
              <w:spacing w:line="276"/>
            </w:pPr>
            <w:r>
              <w:rPr>
                <w:rFonts w:ascii="Times New Roman" w:eastAsia="SimSun"/>
                <w:b/>
                <w:bCs/>
                <w:color w:val="FFFFFF"/>
                <w:sz w:val="20"/>
                <w:szCs w:val="20"/>
              </w:rPr>
              <w:t xml:space="preserve">Answer</w:t>
            </w:r>
          </w:p>
        </w:tc>
      </w:tr>
      <w:tr>
        <w:trPr>
          <w:cantSplit/>
        </w:trPr>
        <w:tc>
          <w:tcPr>
            <w:tcW w:type="pct" w:w="40%"/>
            <w:shd w:fill="F8F0EB" w:val="clear"/>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Target user / domain</w:t>
            </w:r>
          </w:p>
        </w:tc>
        <w:tc>
          <w:tcPr>
            <w:tcW w:type="pct" w:w="60%"/>
            <w:shd w:fill="F8F0EB" w:val="clear"/>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【fill in】</w:t>
            </w:r>
          </w:p>
        </w:tc>
      </w:tr>
      <w:tr>
        <w:trPr>
          <w:cantSplit/>
        </w:trPr>
        <w:tc>
          <w:tcPr>
            <w:tcW w:type="pct" w:w="40%"/>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Drawing family selected for the slice</w:t>
            </w:r>
          </w:p>
        </w:tc>
        <w:tc>
          <w:tcPr>
            <w:tcW w:type="pct" w:w="60%"/>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【fill in】</w:t>
            </w:r>
          </w:p>
        </w:tc>
      </w:tr>
      <w:tr>
        <w:trPr>
          <w:cantSplit/>
        </w:trPr>
        <w:tc>
          <w:tcPr>
            <w:tcW w:type="pct" w:w="40%"/>
            <w:shd w:fill="F8F0EB" w:val="clear"/>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Pipeline ambition (automatic / assisted)</w:t>
            </w:r>
          </w:p>
        </w:tc>
        <w:tc>
          <w:tcPr>
            <w:tcW w:type="pct" w:w="60%"/>
            <w:shd w:fill="F8F0EB" w:val="clear"/>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【fill in】</w:t>
            </w:r>
          </w:p>
        </w:tc>
      </w:tr>
      <w:tr>
        <w:trPr>
          <w:cantSplit/>
        </w:trPr>
        <w:tc>
          <w:tcPr>
            <w:tcW w:type="pct" w:w="40%"/>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Funding available and timeline</w:t>
            </w:r>
          </w:p>
        </w:tc>
        <w:tc>
          <w:tcPr>
            <w:tcW w:type="pct" w:w="60%"/>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【fill in】</w:t>
            </w:r>
          </w:p>
        </w:tc>
      </w:tr>
      <w:tr>
        <w:trPr>
          <w:cantSplit/>
        </w:trPr>
        <w:tc>
          <w:tcPr>
            <w:tcW w:type="pct" w:w="40%"/>
            <w:shd w:fill="F8F0EB" w:val="clear"/>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Mario's time commitment (hours per week)</w:t>
            </w:r>
          </w:p>
        </w:tc>
        <w:tc>
          <w:tcPr>
            <w:tcW w:type="pct" w:w="60%"/>
            <w:shd w:fill="F8F0EB" w:val="clear"/>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【fill in】</w:t>
            </w:r>
          </w:p>
        </w:tc>
      </w:tr>
      <w:tr>
        <w:trPr>
          <w:cantSplit/>
        </w:trPr>
        <w:tc>
          <w:tcPr>
            <w:tcW w:type="pct" w:w="40%"/>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Expectations of Zaid</w:t>
            </w:r>
          </w:p>
        </w:tc>
        <w:tc>
          <w:tcPr>
            <w:tcW w:type="pct" w:w="60%"/>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【fill in】</w:t>
            </w:r>
          </w:p>
        </w:tc>
      </w:tr>
      <w:tr>
        <w:trPr>
          <w:cantSplit/>
        </w:trPr>
        <w:tc>
          <w:tcPr>
            <w:tcW w:type="pct" w:w="40%"/>
            <w:shd w:fill="F8F0EB" w:val="clear"/>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IP posture (his opening position)</w:t>
            </w:r>
          </w:p>
        </w:tc>
        <w:tc>
          <w:tcPr>
            <w:tcW w:type="pct" w:w="60%"/>
            <w:shd w:fill="F8F0EB" w:val="clear"/>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【fill in】</w:t>
            </w:r>
          </w:p>
        </w:tc>
      </w:tr>
      <w:tr>
        <w:trPr>
          <w:cantSplit/>
        </w:trPr>
        <w:tc>
          <w:tcPr>
            <w:tcW w:type="pct" w:w="40%"/>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Six-month success, in his words</w:t>
            </w:r>
          </w:p>
        </w:tc>
        <w:tc>
          <w:tcPr>
            <w:tcW w:type="pct" w:w="60%"/>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【fill in】</w:t>
            </w:r>
          </w:p>
        </w:tc>
      </w:tr>
      <w:tr>
        <w:trPr>
          <w:cantSplit/>
        </w:trPr>
        <w:tc>
          <w:tcPr>
            <w:tcW w:type="pct" w:w="40%"/>
            <w:shd w:fill="F8F0EB" w:val="clear"/>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Report output and audience</w:t>
            </w:r>
          </w:p>
        </w:tc>
        <w:tc>
          <w:tcPr>
            <w:tcW w:type="pct" w:w="60%"/>
            <w:shd w:fill="F8F0EB" w:val="clear"/>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【fill in】</w:t>
            </w:r>
          </w:p>
        </w:tc>
      </w:tr>
      <w:tr>
        <w:trPr>
          <w:cantSplit/>
        </w:trPr>
        <w:tc>
          <w:tcPr>
            <w:tcW w:type="pct" w:w="40%"/>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Follow-ups agreed (who, what, when)</w:t>
            </w:r>
          </w:p>
        </w:tc>
        <w:tc>
          <w:tcPr>
            <w:tcW w:type="pct" w:w="60%"/>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【fill in】</w:t>
            </w:r>
          </w:p>
        </w:tc>
      </w:tr>
    </w:tbl>
    <w:p>
      <w:pPr>
        <w:pStyle w:val="Heading2"/>
        <w:spacing w:after="140" w:before="280" w:line="312"/>
      </w:pPr>
      <w:bookmarkStart w:id="100023" w:name="_Toc100023"/>
      <w:r>
        <w:rPr>
          <w:rFonts w:ascii="Times New Roman" w:eastAsia="SimSun"/>
          <w:b/>
          <w:bCs/>
          <w:color w:val="1A2330"/>
          <w:sz w:val="28"/>
          <w:szCs w:val="28"/>
        </w:rPr>
        <w:t xml:space="preserve">7.4  Session C - term sheet walk-through (optional, 30 minutes)</w:t>
      </w:r>
      <w:bookmarkEnd w:id="100023"/>
    </w:p>
    <w:p>
      <w:pPr>
        <w:spacing w:after="140" w:line="312"/>
        <w:jc w:val="left"/>
      </w:pPr>
      <w:r>
        <w:rPr>
          <w:rFonts w:ascii="Times New Roman" w:eastAsia="SimSun"/>
          <w:b w:val="false"/>
          <w:bCs w:val="false"/>
          <w:i w:val="false"/>
          <w:iCs w:val="false"/>
          <w:color w:val="000000"/>
          <w:sz w:val="24"/>
          <w:szCs w:val="24"/>
        </w:rPr>
        <w:t xml:space="preserve">Only if session B went well and Mario is receptive: walk through the one-page term sheet in Section 9.3 together, fill what can be filled, and agree that the signed version is due by 2026-10-03. Do not press for a signature on the spot - the ground rule is a written structure by the gate date, and a considered yes beats a rushed one.</w:t>
      </w:r>
    </w:p>
    <w:p>
      <w:pPr>
        <w:pStyle w:val="Heading2"/>
        <w:spacing w:after="140" w:before="280" w:line="312"/>
      </w:pPr>
      <w:bookmarkStart w:id="100024" w:name="_Toc100024"/>
      <w:r>
        <w:rPr>
          <w:rFonts w:ascii="Times New Roman" w:eastAsia="SimSun"/>
          <w:b/>
          <w:bCs/>
          <w:color w:val="1A2330"/>
          <w:sz w:val="28"/>
          <w:szCs w:val="28"/>
        </w:rPr>
        <w:t xml:space="preserve">7.5  After the visit</w:t>
      </w:r>
      <w:bookmarkEnd w:id="100024"/>
    </w:p>
    <w:p>
      <w:pPr>
        <w:spacing w:after="140" w:line="312"/>
        <w:jc w:val="left"/>
      </w:pPr>
      <w:r>
        <w:rPr>
          <w:rFonts w:ascii="Times New Roman" w:eastAsia="SimSun"/>
          <w:b w:val="false"/>
          <w:bCs w:val="false"/>
          <w:i w:val="false"/>
          <w:iCs w:val="false"/>
          <w:color w:val="000000"/>
          <w:sz w:val="24"/>
          <w:szCs w:val="24"/>
        </w:rPr>
        <w:t xml:space="preserve">Within three days: land the exports in 04_Inputs, complete the full re-assessment against the actual documents (work package 1.1.3), check the kill triggers, update the DEC-001 scoring with the conversation's evidence, and log everything through the portfolio CLI. If the visit produced a draft term sheet, the remaining work is wordsmithing to signature by 2026-10-03.</w:t>
      </w:r>
    </w:p>
    <w:p>
      <w:pPr>
        <w:pStyle w:val="Heading1"/>
        <w:spacing w:after="200" w:before="400" w:line="312"/>
        <w:jc w:val="center"/>
      </w:pPr>
      <w:bookmarkStart w:id="100025" w:name="_Toc100025"/>
      <w:r>
        <w:rPr>
          <w:rFonts w:ascii="Times New Roman" w:eastAsia="SimSun"/>
          <w:b/>
          <w:bCs/>
          <w:color w:val="1A2330"/>
          <w:sz w:val="32"/>
          <w:szCs w:val="32"/>
        </w:rPr>
        <w:t xml:space="preserve">8  MVP Slice Definition Worksheet</w:t>
      </w:r>
      <w:bookmarkEnd w:id="100025"/>
    </w:p>
    <w:p>
      <w:pPr>
        <w:spacing w:after="140" w:line="312"/>
        <w:jc w:val="left"/>
      </w:pPr>
      <w:r>
        <w:rPr>
          <w:rFonts w:ascii="Times New Roman" w:eastAsia="SimSun"/>
          <w:b w:val="false"/>
          <w:bCs w:val="false"/>
          <w:i w:val="false"/>
          <w:iCs w:val="false"/>
          <w:color w:val="000000"/>
          <w:sz w:val="24"/>
          <w:szCs w:val="24"/>
        </w:rPr>
        <w:t xml:space="preserve">The MVP slice is one drawing family in, one automated report out, with a parametric core and AI assist only where reliable. This worksheet is the fill-in record for work packages 1.3.1 to 1.3.3.</w:t>
      </w:r>
    </w:p>
    <w:p>
      <w:pPr>
        <w:pStyle w:val="Heading2"/>
        <w:spacing w:after="140" w:before="280" w:line="312"/>
      </w:pPr>
      <w:bookmarkStart w:id="100026" w:name="_Toc100026"/>
      <w:r>
        <w:rPr>
          <w:rFonts w:ascii="Times New Roman" w:eastAsia="SimSun"/>
          <w:b/>
          <w:bCs/>
          <w:color w:val="1A2330"/>
          <w:sz w:val="28"/>
          <w:szCs w:val="28"/>
        </w:rPr>
        <w:t xml:space="preserve">8.1  Selection criteria</w:t>
      </w:r>
      <w:bookmarkEnd w:id="100026"/>
    </w:p>
    <w:p>
      <w:pPr>
        <w:pStyle w:val="ListParagraph"/>
        <w:numPr>
          <w:ilvl w:val="0"/>
          <w:numId w:val="4"/>
        </w:numPr>
        <w:spacing w:after="80" w:line="312"/>
      </w:pPr>
      <w:r>
        <w:rPr>
          <w:rFonts w:ascii="Times New Roman" w:eastAsia="SimSun"/>
          <w:sz w:val="24"/>
          <w:szCs w:val="24"/>
        </w:rPr>
        <w:t xml:space="preserve">Repetitive: the family recurs often enough that automation pays back the effort.</w:t>
      </w:r>
    </w:p>
    <w:p>
      <w:pPr>
        <w:pStyle w:val="ListParagraph"/>
        <w:numPr>
          <w:ilvl w:val="0"/>
          <w:numId w:val="4"/>
        </w:numPr>
        <w:spacing w:after="80" w:line="312"/>
      </w:pPr>
      <w:r>
        <w:rPr>
          <w:rFonts w:ascii="Times New Roman" w:eastAsia="SimSun"/>
          <w:sz w:val="24"/>
          <w:szCs w:val="24"/>
        </w:rPr>
        <w:t xml:space="preserve">Constrained: geometry and annotations predictable enough for a rule-based core (DEC-002).</w:t>
      </w:r>
    </w:p>
    <w:p>
      <w:pPr>
        <w:pStyle w:val="ListParagraph"/>
        <w:numPr>
          <w:ilvl w:val="0"/>
          <w:numId w:val="4"/>
        </w:numPr>
        <w:spacing w:after="80" w:line="312"/>
      </w:pPr>
      <w:r>
        <w:rPr>
          <w:rFonts w:ascii="Times New Roman" w:eastAsia="SimSun"/>
          <w:sz w:val="24"/>
          <w:szCs w:val="24"/>
        </w:rPr>
        <w:t xml:space="preserve">Evidenced: at least three real sample drawings available from session A.</w:t>
      </w:r>
    </w:p>
    <w:p>
      <w:pPr>
        <w:pStyle w:val="ListParagraph"/>
        <w:numPr>
          <w:ilvl w:val="0"/>
          <w:numId w:val="4"/>
        </w:numPr>
        <w:spacing w:after="80" w:line="312"/>
      </w:pPr>
      <w:r>
        <w:rPr>
          <w:rFonts w:ascii="Times New Roman" w:eastAsia="SimSun"/>
          <w:sz w:val="24"/>
          <w:szCs w:val="24"/>
        </w:rPr>
        <w:t xml:space="preserve">Reportable: the output report has an obvious, agreed format and audience.</w:t>
      </w:r>
    </w:p>
    <w:p>
      <w:pPr>
        <w:pStyle w:val="ListParagraph"/>
        <w:numPr>
          <w:ilvl w:val="0"/>
          <w:numId w:val="4"/>
        </w:numPr>
        <w:spacing w:after="80" w:line="312"/>
      </w:pPr>
      <w:r>
        <w:rPr>
          <w:rFonts w:ascii="Times New Roman" w:eastAsia="SimSun"/>
          <w:sz w:val="24"/>
          <w:szCs w:val="24"/>
        </w:rPr>
        <w:t xml:space="preserve">Sellable: completing it demonstrates enough value to price the next milestone.</w:t>
      </w:r>
    </w:p>
    <w:p>
      <w:pPr>
        <w:pStyle w:val="Heading2"/>
        <w:spacing w:after="140" w:before="280" w:line="312"/>
      </w:pPr>
      <w:bookmarkStart w:id="100027" w:name="_Toc100027"/>
      <w:r>
        <w:rPr>
          <w:rFonts w:ascii="Times New Roman" w:eastAsia="SimSun"/>
          <w:b/>
          <w:bCs/>
          <w:color w:val="1A2330"/>
          <w:sz w:val="28"/>
          <w:szCs w:val="28"/>
        </w:rPr>
        <w:t xml:space="preserve">8.2  Candidate slices</w:t>
      </w:r>
      <w:bookmarkEnd w:id="100027"/>
    </w:p>
    <w:p>
      <w:pPr>
        <w:keepNext/>
        <w:spacing w:after="80" w:before="160" w:line="312"/>
      </w:pPr>
      <w:r>
        <w:rPr>
          <w:rFonts w:ascii="Times New Roman" w:eastAsia="SimSun"/>
          <w:b/>
          <w:bCs/>
          <w:color w:val="1A2330"/>
          <w:sz w:val="21"/>
          <w:szCs w:val="21"/>
        </w:rPr>
        <w:t xml:space="preserve">Table 10 - Candidate slice evaluation (fill in after the documents are read)</w:t>
      </w:r>
    </w:p>
    <w:tbl>
      <w:tblPr>
        <w:tblW w:type="pct" w:w="100%"/>
        <w:tblBorders>
          <w:top w:val="single" w:color="D4875A" w:sz="4"/>
          <w:left w:val="none"/>
          <w:bottom w:val="single" w:color="D4875A" w:sz="4"/>
          <w:right w:val="none"/>
          <w:insideH w:val="single" w:color="DDD0C8" w:sz="1"/>
          <w:insideV w:val="none"/>
        </w:tblBorders>
      </w:tblPr>
      <w:tblGrid>
        <w:gridCol w:w="100"/>
        <w:gridCol w:w="100"/>
        <w:gridCol w:w="100"/>
        <w:gridCol w:w="100"/>
        <w:gridCol w:w="100"/>
        <w:gridCol w:w="100"/>
      </w:tblGrid>
      <w:tr>
        <w:trPr>
          <w:cantSplit/>
          <w:tblHeader/>
        </w:trPr>
        <w:tc>
          <w:tcPr>
            <w:tcW w:type="pct" w:w="26%"/>
            <w:shd w:fill="D4875A" w:val="clear"/>
            <w:tcMar>
              <w:top w:type="dxa" w:w="70"/>
              <w:left w:type="dxa" w:w="110"/>
              <w:bottom w:type="dxa" w:w="70"/>
              <w:right w:type="dxa" w:w="110"/>
            </w:tcMar>
          </w:tcPr>
          <w:p>
            <w:pPr>
              <w:spacing w:line="276"/>
            </w:pPr>
            <w:r>
              <w:rPr>
                <w:rFonts w:ascii="Times New Roman" w:eastAsia="SimSun"/>
                <w:b/>
                <w:bCs/>
                <w:color w:val="FFFFFF"/>
                <w:sz w:val="20"/>
                <w:szCs w:val="20"/>
              </w:rPr>
              <w:t xml:space="preserve">Candidate family</w:t>
            </w:r>
          </w:p>
        </w:tc>
        <w:tc>
          <w:tcPr>
            <w:tcW w:type="pct" w:w="14%"/>
            <w:shd w:fill="D4875A" w:val="clear"/>
            <w:tcMar>
              <w:top w:type="dxa" w:w="70"/>
              <w:left w:type="dxa" w:w="110"/>
              <w:bottom w:type="dxa" w:w="70"/>
              <w:right w:type="dxa" w:w="110"/>
            </w:tcMar>
          </w:tcPr>
          <w:p>
            <w:pPr>
              <w:spacing w:line="276"/>
            </w:pPr>
            <w:r>
              <w:rPr>
                <w:rFonts w:ascii="Times New Roman" w:eastAsia="SimSun"/>
                <w:b/>
                <w:bCs/>
                <w:color w:val="FFFFFF"/>
                <w:sz w:val="20"/>
                <w:szCs w:val="20"/>
              </w:rPr>
              <w:t xml:space="preserve">Samples in hand</w:t>
            </w:r>
          </w:p>
        </w:tc>
        <w:tc>
          <w:tcPr>
            <w:tcW w:type="pct" w:w="13%"/>
            <w:shd w:fill="D4875A" w:val="clear"/>
            <w:tcMar>
              <w:top w:type="dxa" w:w="70"/>
              <w:left w:type="dxa" w:w="110"/>
              <w:bottom w:type="dxa" w:w="70"/>
              <w:right w:type="dxa" w:w="110"/>
            </w:tcMar>
          </w:tcPr>
          <w:p>
            <w:pPr>
              <w:spacing w:line="276"/>
            </w:pPr>
            <w:r>
              <w:rPr>
                <w:rFonts w:ascii="Times New Roman" w:eastAsia="SimSun"/>
                <w:b/>
                <w:bCs/>
                <w:color w:val="FFFFFF"/>
                <w:sz w:val="20"/>
                <w:szCs w:val="20"/>
              </w:rPr>
              <w:t xml:space="preserve">Repetitive?</w:t>
            </w:r>
          </w:p>
        </w:tc>
        <w:tc>
          <w:tcPr>
            <w:tcW w:type="pct" w:w="13%"/>
            <w:shd w:fill="D4875A" w:val="clear"/>
            <w:tcMar>
              <w:top w:type="dxa" w:w="70"/>
              <w:left w:type="dxa" w:w="110"/>
              <w:bottom w:type="dxa" w:w="70"/>
              <w:right w:type="dxa" w:w="110"/>
            </w:tcMar>
          </w:tcPr>
          <w:p>
            <w:pPr>
              <w:spacing w:line="276"/>
            </w:pPr>
            <w:r>
              <w:rPr>
                <w:rFonts w:ascii="Times New Roman" w:eastAsia="SimSun"/>
                <w:b/>
                <w:bCs/>
                <w:color w:val="FFFFFF"/>
                <w:sz w:val="20"/>
                <w:szCs w:val="20"/>
              </w:rPr>
              <w:t xml:space="preserve">Constrained?</w:t>
            </w:r>
          </w:p>
        </w:tc>
        <w:tc>
          <w:tcPr>
            <w:tcW w:type="pct" w:w="15%"/>
            <w:shd w:fill="D4875A" w:val="clear"/>
            <w:tcMar>
              <w:top w:type="dxa" w:w="70"/>
              <w:left w:type="dxa" w:w="110"/>
              <w:bottom w:type="dxa" w:w="70"/>
              <w:right w:type="dxa" w:w="110"/>
            </w:tcMar>
          </w:tcPr>
          <w:p>
            <w:pPr>
              <w:spacing w:line="276"/>
            </w:pPr>
            <w:r>
              <w:rPr>
                <w:rFonts w:ascii="Times New Roman" w:eastAsia="SimSun"/>
                <w:b/>
                <w:bCs/>
                <w:color w:val="FFFFFF"/>
                <w:sz w:val="20"/>
                <w:szCs w:val="20"/>
              </w:rPr>
              <w:t xml:space="preserve">Report obvious?</w:t>
            </w:r>
          </w:p>
        </w:tc>
        <w:tc>
          <w:tcPr>
            <w:tcW w:type="pct" w:w="19%"/>
            <w:shd w:fill="D4875A" w:val="clear"/>
            <w:tcMar>
              <w:top w:type="dxa" w:w="70"/>
              <w:left w:type="dxa" w:w="110"/>
              <w:bottom w:type="dxa" w:w="70"/>
              <w:right w:type="dxa" w:w="110"/>
            </w:tcMar>
          </w:tcPr>
          <w:p>
            <w:pPr>
              <w:spacing w:line="276"/>
            </w:pPr>
            <w:r>
              <w:rPr>
                <w:rFonts w:ascii="Times New Roman" w:eastAsia="SimSun"/>
                <w:b/>
                <w:bCs/>
                <w:color w:val="FFFFFF"/>
                <w:sz w:val="20"/>
                <w:szCs w:val="20"/>
              </w:rPr>
              <w:t xml:space="preserve">Verdict</w:t>
            </w:r>
          </w:p>
        </w:tc>
      </w:tr>
      <w:tr>
        <w:trPr>
          <w:cantSplit/>
        </w:trPr>
        <w:tc>
          <w:tcPr>
            <w:tcW w:type="pct" w:w="26%"/>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【candidate 1】</w:t>
            </w:r>
          </w:p>
        </w:tc>
        <w:tc>
          <w:tcPr>
            <w:tcW w:type="pct" w:w="14%"/>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【y/n】</w:t>
            </w:r>
          </w:p>
        </w:tc>
        <w:tc>
          <w:tcPr>
            <w:tcW w:type="pct" w:w="13%"/>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【y/n】</w:t>
            </w:r>
          </w:p>
        </w:tc>
        <w:tc>
          <w:tcPr>
            <w:tcW w:type="pct" w:w="13%"/>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【y/n】</w:t>
            </w:r>
          </w:p>
        </w:tc>
        <w:tc>
          <w:tcPr>
            <w:tcW w:type="pct" w:w="15%"/>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【y/n】</w:t>
            </w:r>
          </w:p>
        </w:tc>
        <w:tc>
          <w:tcPr>
            <w:tcW w:type="pct" w:w="19%"/>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【shortlist / drop】</w:t>
            </w:r>
          </w:p>
        </w:tc>
      </w:tr>
      <w:tr>
        <w:trPr>
          <w:cantSplit/>
        </w:trPr>
        <w:tc>
          <w:tcPr>
            <w:tcW w:type="pct" w:w="26%"/>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【candidate 2】</w:t>
            </w:r>
          </w:p>
        </w:tc>
        <w:tc>
          <w:tcPr>
            <w:tcW w:type="pct" w:w="14%"/>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【y/n】</w:t>
            </w:r>
          </w:p>
        </w:tc>
        <w:tc>
          <w:tcPr>
            <w:tcW w:type="pct" w:w="13%"/>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【y/n】</w:t>
            </w:r>
          </w:p>
        </w:tc>
        <w:tc>
          <w:tcPr>
            <w:tcW w:type="pct" w:w="13%"/>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【y/n】</w:t>
            </w:r>
          </w:p>
        </w:tc>
        <w:tc>
          <w:tcPr>
            <w:tcW w:type="pct" w:w="15%"/>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【y/n】</w:t>
            </w:r>
          </w:p>
        </w:tc>
        <w:tc>
          <w:tcPr>
            <w:tcW w:type="pct" w:w="19%"/>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【shortlist / drop】</w:t>
            </w:r>
          </w:p>
        </w:tc>
      </w:tr>
      <w:tr>
        <w:trPr>
          <w:cantSplit/>
        </w:trPr>
        <w:tc>
          <w:tcPr>
            <w:tcW w:type="pct" w:w="26%"/>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【candidate 3】</w:t>
            </w:r>
          </w:p>
        </w:tc>
        <w:tc>
          <w:tcPr>
            <w:tcW w:type="pct" w:w="14%"/>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【y/n】</w:t>
            </w:r>
          </w:p>
        </w:tc>
        <w:tc>
          <w:tcPr>
            <w:tcW w:type="pct" w:w="13%"/>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【y/n】</w:t>
            </w:r>
          </w:p>
        </w:tc>
        <w:tc>
          <w:tcPr>
            <w:tcW w:type="pct" w:w="13%"/>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【y/n】</w:t>
            </w:r>
          </w:p>
        </w:tc>
        <w:tc>
          <w:tcPr>
            <w:tcW w:type="pct" w:w="15%"/>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【y/n】</w:t>
            </w:r>
          </w:p>
        </w:tc>
        <w:tc>
          <w:tcPr>
            <w:tcW w:type="pct" w:w="19%"/>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【shortlist / drop】</w:t>
            </w:r>
          </w:p>
        </w:tc>
      </w:tr>
    </w:tbl>
    <w:p>
      <w:pPr>
        <w:pStyle w:val="Heading2"/>
        <w:spacing w:after="140" w:before="280" w:line="312"/>
      </w:pPr>
      <w:bookmarkStart w:id="100028" w:name="_Toc100028"/>
      <w:r>
        <w:rPr>
          <w:rFonts w:ascii="Times New Roman" w:eastAsia="SimSun"/>
          <w:b/>
          <w:bCs/>
          <w:color w:val="1A2330"/>
          <w:sz w:val="28"/>
          <w:szCs w:val="28"/>
        </w:rPr>
        <w:t xml:space="preserve">8.3  Technical rubric</w:t>
      </w:r>
      <w:bookmarkEnd w:id="100028"/>
    </w:p>
    <w:p>
      <w:pPr>
        <w:spacing w:after="140" w:line="312"/>
        <w:jc w:val="left"/>
      </w:pPr>
      <w:r>
        <w:rPr>
          <w:rFonts w:ascii="Times New Roman" w:eastAsia="SimSun"/>
          <w:b w:val="false"/>
          <w:bCs w:val="false"/>
          <w:i w:val="false"/>
          <w:iCs w:val="false"/>
          <w:color w:val="000000"/>
          <w:sz w:val="24"/>
          <w:szCs w:val="24"/>
        </w:rPr>
        <w:t xml:space="preserve">Score shortlisted candidates on the DEC-002 weights - feasibility 0.35, value to user 0.25, differentiation 0.20, maintainability 0.20 - on a 1-to-5 scale, and write the weighted total in the verdict column. The provisional portfolio scoring (hybrid 4.3, manual 3.2, pure-ML 2.4) is the benchmark: a slice that only works as pure-ML reconstruction is the wrong slice.</w:t>
      </w:r>
    </w:p>
    <w:p>
      <w:pPr>
        <w:pStyle w:val="Heading1"/>
        <w:spacing w:after="200" w:before="400" w:line="312"/>
        <w:jc w:val="center"/>
      </w:pPr>
      <w:bookmarkStart w:id="100029" w:name="_Toc100029"/>
      <w:r>
        <w:rPr>
          <w:rFonts w:ascii="Times New Roman" w:eastAsia="SimSun"/>
          <w:b/>
          <w:bCs/>
          <w:color w:val="1A2330"/>
          <w:sz w:val="32"/>
          <w:szCs w:val="32"/>
        </w:rPr>
        <w:t xml:space="preserve">9  Deal Structure and Spike Pricing</w:t>
      </w:r>
      <w:bookmarkEnd w:id="100029"/>
    </w:p>
    <w:p>
      <w:pPr>
        <w:pStyle w:val="Heading2"/>
        <w:spacing w:after="140" w:before="280" w:line="312"/>
      </w:pPr>
      <w:bookmarkStart w:id="100030" w:name="_Toc100030"/>
      <w:r>
        <w:rPr>
          <w:rFonts w:ascii="Times New Roman" w:eastAsia="SimSun"/>
          <w:b/>
          <w:bCs/>
          <w:color w:val="1A2330"/>
          <w:sz w:val="28"/>
          <w:szCs w:val="28"/>
        </w:rPr>
        <w:t xml:space="preserve">9.1  Scoring worksheet (DEC-001)</w:t>
      </w:r>
      <w:bookmarkEnd w:id="100030"/>
    </w:p>
    <w:p>
      <w:pPr>
        <w:spacing w:after="140" w:line="312"/>
        <w:jc w:val="left"/>
      </w:pPr>
      <w:r>
        <w:rPr>
          <w:rFonts w:ascii="Times New Roman" w:eastAsia="SimSun"/>
          <w:b w:val="false"/>
          <w:bCs w:val="false"/>
          <w:i w:val="false"/>
          <w:iCs w:val="false"/>
          <w:color w:val="000000"/>
          <w:sz w:val="24"/>
          <w:szCs w:val="24"/>
        </w:rPr>
        <w:t xml:space="preserve">Weights are fixed. After the documents and the conversation, score each option 1-to-5 per criterion, multiply, and total. The register's sensitivity note is the tie-breaker: paid development wins if funding exists; partnership only competes with written IP terms, vesting and a validated thesis.</w:t>
      </w:r>
    </w:p>
    <w:p>
      <w:pPr>
        <w:keepNext/>
        <w:spacing w:after="80" w:before="160" w:line="312"/>
      </w:pPr>
      <w:r>
        <w:rPr>
          <w:rFonts w:ascii="Times New Roman" w:eastAsia="SimSun"/>
          <w:b/>
          <w:bCs/>
          <w:color w:val="1A2330"/>
          <w:sz w:val="21"/>
          <w:szCs w:val="21"/>
        </w:rPr>
        <w:t xml:space="preserve">Table 11 - Structure scoring (fill in; weights fixed)</w:t>
      </w:r>
    </w:p>
    <w:tbl>
      <w:tblPr>
        <w:tblW w:type="pct" w:w="100%"/>
        <w:tblBorders>
          <w:top w:val="single" w:color="D4875A" w:sz="4"/>
          <w:left w:val="none"/>
          <w:bottom w:val="single" w:color="D4875A" w:sz="4"/>
          <w:right w:val="none"/>
          <w:insideH w:val="single" w:color="DDD0C8" w:sz="1"/>
          <w:insideV w:val="none"/>
        </w:tblBorders>
      </w:tblPr>
      <w:tblGrid>
        <w:gridCol w:w="100"/>
        <w:gridCol w:w="100"/>
        <w:gridCol w:w="100"/>
        <w:gridCol w:w="100"/>
      </w:tblGrid>
      <w:tr>
        <w:trPr>
          <w:cantSplit/>
          <w:tblHeader/>
        </w:trPr>
        <w:tc>
          <w:tcPr>
            <w:tcW w:type="pct" w:w="34%"/>
            <w:shd w:fill="D4875A" w:val="clear"/>
            <w:tcMar>
              <w:top w:type="dxa" w:w="70"/>
              <w:left w:type="dxa" w:w="110"/>
              <w:bottom w:type="dxa" w:w="70"/>
              <w:right w:type="dxa" w:w="110"/>
            </w:tcMar>
          </w:tcPr>
          <w:p>
            <w:pPr>
              <w:spacing w:line="276"/>
            </w:pPr>
            <w:r>
              <w:rPr>
                <w:rFonts w:ascii="Times New Roman" w:eastAsia="SimSun"/>
                <w:b/>
                <w:bCs/>
                <w:color w:val="FFFFFF"/>
                <w:sz w:val="20"/>
                <w:szCs w:val="20"/>
              </w:rPr>
              <w:t xml:space="preserve">Criterion (weight)</w:t>
            </w:r>
          </w:p>
        </w:tc>
        <w:tc>
          <w:tcPr>
            <w:tcW w:type="pct" w:w="22%"/>
            <w:shd w:fill="D4875A" w:val="clear"/>
            <w:tcMar>
              <w:top w:type="dxa" w:w="70"/>
              <w:left w:type="dxa" w:w="110"/>
              <w:bottom w:type="dxa" w:w="70"/>
              <w:right w:type="dxa" w:w="110"/>
            </w:tcMar>
          </w:tcPr>
          <w:p>
            <w:pPr>
              <w:spacing w:line="276"/>
            </w:pPr>
            <w:r>
              <w:rPr>
                <w:rFonts w:ascii="Times New Roman" w:eastAsia="SimSun"/>
                <w:b/>
                <w:bCs/>
                <w:color w:val="FFFFFF"/>
                <w:sz w:val="20"/>
                <w:szCs w:val="20"/>
              </w:rPr>
              <w:t xml:space="preserve">A - Paid</w:t>
            </w:r>
          </w:p>
        </w:tc>
        <w:tc>
          <w:tcPr>
            <w:tcW w:type="pct" w:w="22%"/>
            <w:shd w:fill="D4875A" w:val="clear"/>
            <w:tcMar>
              <w:top w:type="dxa" w:w="70"/>
              <w:left w:type="dxa" w:w="110"/>
              <w:bottom w:type="dxa" w:w="70"/>
              <w:right w:type="dxa" w:w="110"/>
            </w:tcMar>
          </w:tcPr>
          <w:p>
            <w:pPr>
              <w:spacing w:line="276"/>
            </w:pPr>
            <w:r>
              <w:rPr>
                <w:rFonts w:ascii="Times New Roman" w:eastAsia="SimSun"/>
                <w:b/>
                <w:bCs/>
                <w:color w:val="FFFFFF"/>
                <w:sz w:val="20"/>
                <w:szCs w:val="20"/>
              </w:rPr>
              <w:t xml:space="preserve">B - Partnership</w:t>
            </w:r>
          </w:p>
        </w:tc>
        <w:tc>
          <w:tcPr>
            <w:tcW w:type="pct" w:w="22%"/>
            <w:shd w:fill="D4875A" w:val="clear"/>
            <w:tcMar>
              <w:top w:type="dxa" w:w="70"/>
              <w:left w:type="dxa" w:w="110"/>
              <w:bottom w:type="dxa" w:w="70"/>
              <w:right w:type="dxa" w:w="110"/>
            </w:tcMar>
          </w:tcPr>
          <w:p>
            <w:pPr>
              <w:spacing w:line="276"/>
            </w:pPr>
            <w:r>
              <w:rPr>
                <w:rFonts w:ascii="Times New Roman" w:eastAsia="SimSun"/>
                <w:b/>
                <w:bCs/>
                <w:color w:val="FFFFFF"/>
                <w:sz w:val="20"/>
                <w:szCs w:val="20"/>
              </w:rPr>
              <w:t xml:space="preserve">C - Hybrid</w:t>
            </w:r>
          </w:p>
        </w:tc>
      </w:tr>
      <w:tr>
        <w:trPr>
          <w:cantSplit/>
        </w:trPr>
        <w:tc>
          <w:tcPr>
            <w:tcW w:type="pct" w:w="34%"/>
            <w:shd w:fill="F8F0EB" w:val="clear"/>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Cash-flow now (0.30)</w:t>
            </w:r>
          </w:p>
        </w:tc>
        <w:tc>
          <w:tcPr>
            <w:tcW w:type="pct" w:w="22%"/>
            <w:shd w:fill="F8F0EB" w:val="clear"/>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【score】</w:t>
            </w:r>
          </w:p>
        </w:tc>
        <w:tc>
          <w:tcPr>
            <w:tcW w:type="pct" w:w="22%"/>
            <w:shd w:fill="F8F0EB" w:val="clear"/>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【score】</w:t>
            </w:r>
          </w:p>
        </w:tc>
        <w:tc>
          <w:tcPr>
            <w:tcW w:type="pct" w:w="22%"/>
            <w:shd w:fill="F8F0EB" w:val="clear"/>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【score】</w:t>
            </w:r>
          </w:p>
        </w:tc>
      </w:tr>
      <w:tr>
        <w:trPr>
          <w:cantSplit/>
        </w:trPr>
        <w:tc>
          <w:tcPr>
            <w:tcW w:type="pct" w:w="34%"/>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Upside (0.25)</w:t>
            </w:r>
          </w:p>
        </w:tc>
        <w:tc>
          <w:tcPr>
            <w:tcW w:type="pct" w:w="22%"/>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【score】</w:t>
            </w:r>
          </w:p>
        </w:tc>
        <w:tc>
          <w:tcPr>
            <w:tcW w:type="pct" w:w="22%"/>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【score】</w:t>
            </w:r>
          </w:p>
        </w:tc>
        <w:tc>
          <w:tcPr>
            <w:tcW w:type="pct" w:w="22%"/>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【score】</w:t>
            </w:r>
          </w:p>
        </w:tc>
      </w:tr>
      <w:tr>
        <w:trPr>
          <w:cantSplit/>
        </w:trPr>
        <w:tc>
          <w:tcPr>
            <w:tcW w:type="pct" w:w="34%"/>
            <w:shd w:fill="F8F0EB" w:val="clear"/>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Risk (0.30)</w:t>
            </w:r>
          </w:p>
        </w:tc>
        <w:tc>
          <w:tcPr>
            <w:tcW w:type="pct" w:w="22%"/>
            <w:shd w:fill="F8F0EB" w:val="clear"/>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【score】</w:t>
            </w:r>
          </w:p>
        </w:tc>
        <w:tc>
          <w:tcPr>
            <w:tcW w:type="pct" w:w="22%"/>
            <w:shd w:fill="F8F0EB" w:val="clear"/>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【score】</w:t>
            </w:r>
          </w:p>
        </w:tc>
        <w:tc>
          <w:tcPr>
            <w:tcW w:type="pct" w:w="22%"/>
            <w:shd w:fill="F8F0EB" w:val="clear"/>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【score】</w:t>
            </w:r>
          </w:p>
        </w:tc>
      </w:tr>
      <w:tr>
        <w:trPr>
          <w:cantSplit/>
        </w:trPr>
        <w:tc>
          <w:tcPr>
            <w:tcW w:type="pct" w:w="34%"/>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Relationship (0.15)</w:t>
            </w:r>
          </w:p>
        </w:tc>
        <w:tc>
          <w:tcPr>
            <w:tcW w:type="pct" w:w="22%"/>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【score】</w:t>
            </w:r>
          </w:p>
        </w:tc>
        <w:tc>
          <w:tcPr>
            <w:tcW w:type="pct" w:w="22%"/>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【score】</w:t>
            </w:r>
          </w:p>
        </w:tc>
        <w:tc>
          <w:tcPr>
            <w:tcW w:type="pct" w:w="22%"/>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【score】</w:t>
            </w:r>
          </w:p>
        </w:tc>
      </w:tr>
      <w:tr>
        <w:trPr>
          <w:cantSplit/>
        </w:trPr>
        <w:tc>
          <w:tcPr>
            <w:tcW w:type="pct" w:w="34%"/>
            <w:shd w:fill="F8F0EB" w:val="clear"/>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Weighted total</w:t>
            </w:r>
          </w:p>
        </w:tc>
        <w:tc>
          <w:tcPr>
            <w:tcW w:type="pct" w:w="22%"/>
            <w:shd w:fill="F8F0EB" w:val="clear"/>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【total】</w:t>
            </w:r>
          </w:p>
        </w:tc>
        <w:tc>
          <w:tcPr>
            <w:tcW w:type="pct" w:w="22%"/>
            <w:shd w:fill="F8F0EB" w:val="clear"/>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【total】</w:t>
            </w:r>
          </w:p>
        </w:tc>
        <w:tc>
          <w:tcPr>
            <w:tcW w:type="pct" w:w="22%"/>
            <w:shd w:fill="F8F0EB" w:val="clear"/>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【total】</w:t>
            </w:r>
          </w:p>
        </w:tc>
      </w:tr>
    </w:tbl>
    <w:p>
      <w:pPr>
        <w:pStyle w:val="Heading2"/>
        <w:spacing w:after="140" w:before="280" w:line="312"/>
      </w:pPr>
      <w:bookmarkStart w:id="100031" w:name="_Toc100031"/>
      <w:r>
        <w:rPr>
          <w:rFonts w:ascii="Times New Roman" w:eastAsia="SimSun"/>
          <w:b/>
          <w:bCs/>
          <w:color w:val="1A2330"/>
          <w:sz w:val="28"/>
          <w:szCs w:val="28"/>
        </w:rPr>
        <w:t xml:space="preserve">9.2  Spike pricing guide</w:t>
      </w:r>
      <w:bookmarkEnd w:id="100031"/>
    </w:p>
    <w:p>
      <w:pPr>
        <w:spacing w:after="140" w:line="312"/>
        <w:jc w:val="left"/>
      </w:pPr>
      <w:r>
        <w:rPr>
          <w:rFonts w:ascii="Times New Roman" w:eastAsia="SimSun"/>
          <w:b w:val="false"/>
          <w:bCs w:val="false"/>
          <w:i w:val="false"/>
          <w:iCs w:val="false"/>
          <w:color w:val="000000"/>
          <w:sz w:val="24"/>
          <w:szCs w:val="24"/>
        </w:rPr>
        <w:t xml:space="preserve">The spike is five to twenty hours of senior AI/automation work, priced up front and paid before delivery (the register's payment-risk mitigation, RSK-006). Its two deliverables are fixed: a technical approach for the selected slice, and an effort estimate with a milestone quote for the real engagement. Set the price from the conversation's funding reality (session B, question 4): a number Mario can pay without hesitation is worth more than a correct number he cannot. The spike's price also anchors the full engagement's rate card.</w:t>
      </w:r>
    </w:p>
    <w:p>
      <w:pPr>
        <w:pStyle w:val="Heading2"/>
        <w:spacing w:after="140" w:before="280" w:line="312"/>
      </w:pPr>
      <w:bookmarkStart w:id="100032" w:name="_Toc100032"/>
      <w:r>
        <w:rPr>
          <w:rFonts w:ascii="Times New Roman" w:eastAsia="SimSun"/>
          <w:b/>
          <w:bCs/>
          <w:color w:val="1A2330"/>
          <w:sz w:val="28"/>
          <w:szCs w:val="28"/>
        </w:rPr>
        <w:t xml:space="preserve">9.3  One-page term sheet (fill-in template)</w:t>
      </w:r>
      <w:bookmarkEnd w:id="100032"/>
    </w:p>
    <w:p>
      <w:pPr>
        <w:keepNext/>
        <w:spacing w:after="80" w:before="160" w:line="312"/>
      </w:pPr>
      <w:r>
        <w:rPr>
          <w:rFonts w:ascii="Times New Roman" w:eastAsia="SimSun"/>
          <w:b/>
          <w:bCs/>
          <w:color w:val="1A2330"/>
          <w:sz w:val="21"/>
          <w:szCs w:val="21"/>
        </w:rPr>
        <w:t xml:space="preserve">Table 12 - Term sheet</w:t>
      </w:r>
    </w:p>
    <w:tbl>
      <w:tblPr>
        <w:tblW w:type="pct" w:w="100%"/>
        <w:tblBorders>
          <w:top w:val="single" w:color="D4875A" w:sz="4"/>
          <w:left w:val="none"/>
          <w:bottom w:val="single" w:color="D4875A" w:sz="4"/>
          <w:right w:val="none"/>
          <w:insideH w:val="single" w:color="DDD0C8" w:sz="1"/>
          <w:insideV w:val="none"/>
        </w:tblBorders>
      </w:tblPr>
      <w:tblGrid>
        <w:gridCol w:w="100"/>
        <w:gridCol w:w="100"/>
      </w:tblGrid>
      <w:tr>
        <w:trPr>
          <w:cantSplit/>
          <w:tblHeader/>
        </w:trPr>
        <w:tc>
          <w:tcPr>
            <w:tcW w:type="pct" w:w="24%"/>
            <w:shd w:fill="D4875A" w:val="clear"/>
            <w:tcMar>
              <w:top w:type="dxa" w:w="70"/>
              <w:left w:type="dxa" w:w="110"/>
              <w:bottom w:type="dxa" w:w="70"/>
              <w:right w:type="dxa" w:w="110"/>
            </w:tcMar>
          </w:tcPr>
          <w:p>
            <w:pPr>
              <w:spacing w:line="276"/>
            </w:pPr>
            <w:r>
              <w:rPr>
                <w:rFonts w:ascii="Times New Roman" w:eastAsia="SimSun"/>
                <w:b/>
                <w:bCs/>
                <w:color w:val="FFFFFF"/>
                <w:sz w:val="20"/>
                <w:szCs w:val="20"/>
              </w:rPr>
              <w:t xml:space="preserve">Clause</w:t>
            </w:r>
          </w:p>
        </w:tc>
        <w:tc>
          <w:tcPr>
            <w:tcW w:type="pct" w:w="76%"/>
            <w:shd w:fill="D4875A" w:val="clear"/>
            <w:tcMar>
              <w:top w:type="dxa" w:w="70"/>
              <w:left w:type="dxa" w:w="110"/>
              <w:bottom w:type="dxa" w:w="70"/>
              <w:right w:type="dxa" w:w="110"/>
            </w:tcMar>
          </w:tcPr>
          <w:p>
            <w:pPr>
              <w:spacing w:line="276"/>
            </w:pPr>
            <w:r>
              <w:rPr>
                <w:rFonts w:ascii="Times New Roman" w:eastAsia="SimSun"/>
                <w:b/>
                <w:bCs/>
                <w:color w:val="FFFFFF"/>
                <w:sz w:val="20"/>
                <w:szCs w:val="20"/>
              </w:rPr>
              <w:t xml:space="preserve">Agreed text</w:t>
            </w:r>
          </w:p>
        </w:tc>
      </w:tr>
      <w:tr>
        <w:trPr>
          <w:cantSplit/>
        </w:trPr>
        <w:tc>
          <w:tcPr>
            <w:tcW w:type="pct" w:w="24%"/>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Parties</w:t>
            </w:r>
          </w:p>
        </w:tc>
        <w:tc>
          <w:tcPr>
            <w:tcW w:type="pct" w:w="76%"/>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Zaid Al Dabbag and 【Mario's full name】, dated 【____/____/____】</w:t>
            </w:r>
          </w:p>
        </w:tc>
      </w:tr>
      <w:tr>
        <w:trPr>
          <w:cantSplit/>
        </w:trPr>
        <w:tc>
          <w:tcPr>
            <w:tcW w:type="pct" w:w="24%"/>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Structure chosen</w:t>
            </w:r>
          </w:p>
        </w:tc>
        <w:tc>
          <w:tcPr>
            <w:tcW w:type="pct" w:w="76%"/>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【tick one: A paid development / B partnership / C hybrid - per Table 11 scoring】</w:t>
            </w:r>
          </w:p>
        </w:tc>
      </w:tr>
      <w:tr>
        <w:trPr>
          <w:cantSplit/>
        </w:trPr>
        <w:tc>
          <w:tcPr>
            <w:tcW w:type="pct" w:w="24%"/>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Scope reference</w:t>
            </w:r>
          </w:p>
        </w:tc>
        <w:tc>
          <w:tcPr>
            <w:tcW w:type="pct" w:w="76%"/>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The MVP slice defined in Section 8 of this plan: 【drawing family】 to 【report】</w:t>
            </w:r>
          </w:p>
        </w:tc>
      </w:tr>
      <w:tr>
        <w:trPr>
          <w:cantSplit/>
        </w:trPr>
        <w:tc>
          <w:tcPr>
            <w:tcW w:type="pct" w:w="24%"/>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Feasibility spike</w:t>
            </w:r>
          </w:p>
        </w:tc>
        <w:tc>
          <w:tcPr>
            <w:tcW w:type="pct" w:w="76%"/>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Price 【amount】 for 5-20 h; deliverables: technical approach + effort estimate; payment 【up front / on delivery】</w:t>
            </w:r>
          </w:p>
        </w:tc>
      </w:tr>
      <w:tr>
        <w:trPr>
          <w:cantSplit/>
        </w:trPr>
        <w:tc>
          <w:tcPr>
            <w:tcW w:type="pct" w:w="24%"/>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Further work</w:t>
            </w:r>
          </w:p>
        </w:tc>
        <w:tc>
          <w:tcPr>
            <w:tcW w:type="pct" w:w="76%"/>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Quoted per milestone against the written slice; no time-and-materials work</w:t>
            </w:r>
          </w:p>
        </w:tc>
      </w:tr>
      <w:tr>
        <w:trPr>
          <w:cantSplit/>
        </w:trPr>
        <w:tc>
          <w:tcPr>
            <w:tcW w:type="pct" w:w="24%"/>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IP - background</w:t>
            </w:r>
          </w:p>
        </w:tc>
        <w:tc>
          <w:tcPr>
            <w:tcW w:type="pct" w:w="76%"/>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Mario's methodology and framework documents remain Mario's</w:t>
            </w:r>
          </w:p>
        </w:tc>
      </w:tr>
      <w:tr>
        <w:trPr>
          <w:cantSplit/>
        </w:trPr>
        <w:tc>
          <w:tcPr>
            <w:tcW w:type="pct" w:w="24%"/>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IP - foreground</w:t>
            </w:r>
          </w:p>
        </w:tc>
        <w:tc>
          <w:tcPr>
            <w:tcW w:type="pct" w:w="76%"/>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【who owns code Zaid writes; licence back if anyone walks】</w:t>
            </w:r>
          </w:p>
        </w:tc>
      </w:tr>
      <w:tr>
        <w:trPr>
          <w:cantSplit/>
        </w:trPr>
        <w:tc>
          <w:tcPr>
            <w:tcW w:type="pct" w:w="24%"/>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If partnership</w:t>
            </w:r>
          </w:p>
        </w:tc>
        <w:tc>
          <w:tcPr>
            <w:tcW w:type="pct" w:w="76%"/>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【equity or share %, vesting over delivered milestones, deadlock rule, exit terms】</w:t>
            </w:r>
          </w:p>
        </w:tc>
      </w:tr>
      <w:tr>
        <w:trPr>
          <w:cantSplit/>
        </w:trPr>
        <w:tc>
          <w:tcPr>
            <w:tcW w:type="pct" w:w="24%"/>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Hours cap</w:t>
            </w:r>
          </w:p>
        </w:tc>
        <w:tc>
          <w:tcPr>
            <w:tcW w:type="pct" w:w="76%"/>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No unstructured hours beyond 【date of signature + agreed cap】; all hours after signature are priced</w:t>
            </w:r>
          </w:p>
        </w:tc>
      </w:tr>
      <w:tr>
        <w:trPr>
          <w:cantSplit/>
        </w:trPr>
        <w:tc>
          <w:tcPr>
            <w:tcW w:type="pct" w:w="24%"/>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Signatures</w:t>
            </w:r>
          </w:p>
        </w:tc>
        <w:tc>
          <w:tcPr>
            <w:tcW w:type="pct" w:w="76%"/>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Zaid Al Dabbag ______________    【Mario】 ______________</w:t>
            </w:r>
          </w:p>
        </w:tc>
      </w:tr>
    </w:tbl>
    <w:p>
      <w:pPr>
        <w:spacing w:after="160" w:before="60" w:line="312"/>
      </w:pPr>
      <w:r>
        <w:rPr>
          <w:rFonts w:ascii="Times New Roman" w:eastAsia="SimSun"/>
          <w:i/>
          <w:iCs/>
          <w:color w:val="6A7380"/>
          <w:sz w:val="20"/>
          <w:szCs w:val="20"/>
        </w:rPr>
        <w:t xml:space="preserve">The term sheet is a working agreement, not legal advice; if option B or C is chosen, clause-level IP drafting (work package 1.2.4) precedes any build work.</w:t>
      </w:r>
    </w:p>
    <w:p>
      <w:pPr>
        <w:pStyle w:val="Heading1"/>
        <w:spacing w:after="200" w:before="400" w:line="312"/>
        <w:jc w:val="center"/>
      </w:pPr>
      <w:bookmarkStart w:id="100033" w:name="_Toc100033"/>
      <w:r>
        <w:rPr>
          <w:rFonts w:ascii="Times New Roman" w:eastAsia="SimSun"/>
          <w:b/>
          <w:bCs/>
          <w:color w:val="1A2330"/>
          <w:sz w:val="32"/>
          <w:szCs w:val="32"/>
        </w:rPr>
        <w:t xml:space="preserve">10  Hours Tracker and Decision Log</w:t>
      </w:r>
      <w:bookmarkEnd w:id="100033"/>
    </w:p>
    <w:p>
      <w:pPr>
        <w:pStyle w:val="Heading2"/>
        <w:spacing w:after="140" w:before="280" w:line="312"/>
      </w:pPr>
      <w:bookmarkStart w:id="100034" w:name="_Toc100034"/>
      <w:r>
        <w:rPr>
          <w:rFonts w:ascii="Times New Roman" w:eastAsia="SimSun"/>
          <w:b/>
          <w:bCs/>
          <w:color w:val="1A2330"/>
          <w:sz w:val="28"/>
          <w:szCs w:val="28"/>
        </w:rPr>
        <w:t xml:space="preserve">10.1  Unstructured hours cap (20 h)</w:t>
      </w:r>
      <w:bookmarkEnd w:id="100034"/>
    </w:p>
    <w:p>
      <w:pPr>
        <w:keepNext/>
        <w:spacing w:after="80" w:before="160" w:line="312"/>
      </w:pPr>
      <w:r>
        <w:rPr>
          <w:rFonts w:ascii="Times New Roman" w:eastAsia="SimSun"/>
          <w:b/>
          <w:bCs/>
          <w:color w:val="1A2330"/>
          <w:sz w:val="21"/>
          <w:szCs w:val="21"/>
        </w:rPr>
        <w:t xml:space="preserve">Table 13 - Hours tracker</w:t>
      </w:r>
    </w:p>
    <w:tbl>
      <w:tblPr>
        <w:tblW w:type="pct" w:w="100%"/>
        <w:tblBorders>
          <w:top w:val="single" w:color="D4875A" w:sz="4"/>
          <w:left w:val="none"/>
          <w:bottom w:val="single" w:color="D4875A" w:sz="4"/>
          <w:right w:val="none"/>
          <w:insideH w:val="single" w:color="DDD0C8" w:sz="1"/>
          <w:insideV w:val="none"/>
        </w:tblBorders>
      </w:tblPr>
      <w:tblGrid>
        <w:gridCol w:w="100"/>
        <w:gridCol w:w="100"/>
        <w:gridCol w:w="100"/>
        <w:gridCol w:w="100"/>
      </w:tblGrid>
      <w:tr>
        <w:trPr>
          <w:cantSplit/>
          <w:tblHeader/>
        </w:trPr>
        <w:tc>
          <w:tcPr>
            <w:tcW w:type="pct" w:w="16%"/>
            <w:shd w:fill="D4875A" w:val="clear"/>
            <w:tcMar>
              <w:top w:type="dxa" w:w="70"/>
              <w:left w:type="dxa" w:w="110"/>
              <w:bottom w:type="dxa" w:w="70"/>
              <w:right w:type="dxa" w:w="110"/>
            </w:tcMar>
          </w:tcPr>
          <w:p>
            <w:pPr>
              <w:spacing w:line="276"/>
            </w:pPr>
            <w:r>
              <w:rPr>
                <w:rFonts w:ascii="Times New Roman" w:eastAsia="SimSun"/>
                <w:b/>
                <w:bCs/>
                <w:color w:val="FFFFFF"/>
                <w:sz w:val="20"/>
                <w:szCs w:val="20"/>
              </w:rPr>
              <w:t xml:space="preserve">Date</w:t>
            </w:r>
          </w:p>
        </w:tc>
        <w:tc>
          <w:tcPr>
            <w:tcW w:type="pct" w:w="52%"/>
            <w:shd w:fill="D4875A" w:val="clear"/>
            <w:tcMar>
              <w:top w:type="dxa" w:w="70"/>
              <w:left w:type="dxa" w:w="110"/>
              <w:bottom w:type="dxa" w:w="70"/>
              <w:right w:type="dxa" w:w="110"/>
            </w:tcMar>
          </w:tcPr>
          <w:p>
            <w:pPr>
              <w:spacing w:line="276"/>
            </w:pPr>
            <w:r>
              <w:rPr>
                <w:rFonts w:ascii="Times New Roman" w:eastAsia="SimSun"/>
                <w:b/>
                <w:bCs/>
                <w:color w:val="FFFFFF"/>
                <w:sz w:val="20"/>
                <w:szCs w:val="20"/>
              </w:rPr>
              <w:t xml:space="preserve">Activity</w:t>
            </w:r>
          </w:p>
        </w:tc>
        <w:tc>
          <w:tcPr>
            <w:tcW w:type="pct" w:w="12%"/>
            <w:shd w:fill="D4875A" w:val="clear"/>
            <w:tcMar>
              <w:top w:type="dxa" w:w="70"/>
              <w:left w:type="dxa" w:w="110"/>
              <w:bottom w:type="dxa" w:w="70"/>
              <w:right w:type="dxa" w:w="110"/>
            </w:tcMar>
          </w:tcPr>
          <w:p>
            <w:pPr>
              <w:spacing w:line="276"/>
            </w:pPr>
            <w:r>
              <w:rPr>
                <w:rFonts w:ascii="Times New Roman" w:eastAsia="SimSun"/>
                <w:b/>
                <w:bCs/>
                <w:color w:val="FFFFFF"/>
                <w:sz w:val="20"/>
                <w:szCs w:val="20"/>
              </w:rPr>
              <w:t xml:space="preserve">Hours</w:t>
            </w:r>
          </w:p>
        </w:tc>
        <w:tc>
          <w:tcPr>
            <w:tcW w:type="pct" w:w="20%"/>
            <w:shd w:fill="D4875A" w:val="clear"/>
            <w:tcMar>
              <w:top w:type="dxa" w:w="70"/>
              <w:left w:type="dxa" w:w="110"/>
              <w:bottom w:type="dxa" w:w="70"/>
              <w:right w:type="dxa" w:w="110"/>
            </w:tcMar>
          </w:tcPr>
          <w:p>
            <w:pPr>
              <w:spacing w:line="276"/>
            </w:pPr>
            <w:r>
              <w:rPr>
                <w:rFonts w:ascii="Times New Roman" w:eastAsia="SimSun"/>
                <w:b/>
                <w:bCs/>
                <w:color w:val="FFFFFF"/>
                <w:sz w:val="20"/>
                <w:szCs w:val="20"/>
              </w:rPr>
              <w:t xml:space="preserve">Running total</w:t>
            </w:r>
          </w:p>
        </w:tc>
      </w:tr>
      <w:tr>
        <w:trPr>
          <w:cantSplit/>
        </w:trPr>
        <w:tc>
          <w:tcPr>
            <w:tcW w:type="pct" w:w="16%"/>
            <w:shd w:fill="F8F0EB" w:val="clear"/>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2026-09-12</w:t>
            </w:r>
          </w:p>
        </w:tc>
        <w:tc>
          <w:tcPr>
            <w:tcW w:type="pct" w:w="52%"/>
            <w:shd w:fill="F8F0EB" w:val="clear"/>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Opportunity setup: registers, link recovery, provisional assessment</w:t>
            </w:r>
          </w:p>
        </w:tc>
        <w:tc>
          <w:tcPr>
            <w:tcW w:type="pct" w:w="12%"/>
            <w:shd w:fill="F8F0EB" w:val="clear"/>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1.0</w:t>
            </w:r>
          </w:p>
        </w:tc>
        <w:tc>
          <w:tcPr>
            <w:tcW w:type="pct" w:w="20%"/>
            <w:shd w:fill="F8F0EB" w:val="clear"/>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1.0</w:t>
            </w:r>
          </w:p>
        </w:tc>
      </w:tr>
      <w:tr>
        <w:trPr>
          <w:cantSplit/>
        </w:trPr>
        <w:tc>
          <w:tcPr>
            <w:tcW w:type="pct" w:w="16%"/>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【date】</w:t>
            </w:r>
          </w:p>
        </w:tc>
        <w:tc>
          <w:tcPr>
            <w:tcW w:type="pct" w:w="52%"/>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【visit: export + samples + conversation】</w:t>
            </w:r>
          </w:p>
        </w:tc>
        <w:tc>
          <w:tcPr>
            <w:tcW w:type="pct" w:w="12%"/>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【__】</w:t>
            </w:r>
          </w:p>
        </w:tc>
        <w:tc>
          <w:tcPr>
            <w:tcW w:type="pct" w:w="20%"/>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【__】</w:t>
            </w:r>
          </w:p>
        </w:tc>
      </w:tr>
      <w:tr>
        <w:trPr>
          <w:cantSplit/>
        </w:trPr>
        <w:tc>
          <w:tcPr>
            <w:tcW w:type="pct" w:w="16%"/>
            <w:shd w:fill="F8F0EB" w:val="clear"/>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【date】</w:t>
            </w:r>
          </w:p>
        </w:tc>
        <w:tc>
          <w:tcPr>
            <w:tcW w:type="pct" w:w="52%"/>
            <w:shd w:fill="F8F0EB" w:val="clear"/>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【re-assessment + structure decision】</w:t>
            </w:r>
          </w:p>
        </w:tc>
        <w:tc>
          <w:tcPr>
            <w:tcW w:type="pct" w:w="12%"/>
            <w:shd w:fill="F8F0EB" w:val="clear"/>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【__】</w:t>
            </w:r>
          </w:p>
        </w:tc>
        <w:tc>
          <w:tcPr>
            <w:tcW w:type="pct" w:w="20%"/>
            <w:shd w:fill="F8F0EB" w:val="clear"/>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【__】</w:t>
            </w:r>
          </w:p>
        </w:tc>
      </w:tr>
      <w:tr>
        <w:trPr>
          <w:cantSplit/>
        </w:trPr>
        <w:tc>
          <w:tcPr>
            <w:tcW w:type="pct" w:w="16%"/>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【date】</w:t>
            </w:r>
          </w:p>
        </w:tc>
        <w:tc>
          <w:tcPr>
            <w:tcW w:type="pct" w:w="52%"/>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【term sheet + slice definition】</w:t>
            </w:r>
          </w:p>
        </w:tc>
        <w:tc>
          <w:tcPr>
            <w:tcW w:type="pct" w:w="12%"/>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【__】</w:t>
            </w:r>
          </w:p>
        </w:tc>
        <w:tc>
          <w:tcPr>
            <w:tcW w:type="pct" w:w="20%"/>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【__】</w:t>
            </w:r>
          </w:p>
        </w:tc>
      </w:tr>
      <w:tr>
        <w:trPr>
          <w:cantSplit/>
        </w:trPr>
        <w:tc>
          <w:tcPr>
            <w:tcW w:type="pct" w:w="16%"/>
            <w:shd w:fill="F8F0EB" w:val="clear"/>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【date】</w:t>
            </w:r>
          </w:p>
        </w:tc>
        <w:tc>
          <w:tcPr>
            <w:tcW w:type="pct" w:w="52%"/>
            <w:shd w:fill="F8F0EB" w:val="clear"/>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【spike proposal】</w:t>
            </w:r>
          </w:p>
        </w:tc>
        <w:tc>
          <w:tcPr>
            <w:tcW w:type="pct" w:w="12%"/>
            <w:shd w:fill="F8F0EB" w:val="clear"/>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【__】</w:t>
            </w:r>
          </w:p>
        </w:tc>
        <w:tc>
          <w:tcPr>
            <w:tcW w:type="pct" w:w="20%"/>
            <w:shd w:fill="F8F0EB" w:val="clear"/>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【__】</w:t>
            </w:r>
          </w:p>
        </w:tc>
      </w:tr>
    </w:tbl>
    <w:p>
      <w:pPr>
        <w:spacing w:after="140" w:line="312"/>
        <w:jc w:val="left"/>
      </w:pPr>
      <w:r>
        <w:rPr>
          <w:rFonts w:ascii="Times New Roman" w:eastAsia="SimSun"/>
          <w:b w:val="false"/>
          <w:bCs w:val="false"/>
          <w:i w:val="false"/>
          <w:iCs w:val="false"/>
          <w:color w:val="000000"/>
          <w:sz w:val="24"/>
          <w:szCs w:val="24"/>
        </w:rPr>
        <w:t xml:space="preserve">Back home, mirror each row into the portfolio with python tools/update_progress.py mario-software --hours N. The cap applies until the term sheet is signed; priced spike hours do not count against it.</w:t>
      </w:r>
    </w:p>
    <w:p>
      <w:pPr>
        <w:pStyle w:val="Heading2"/>
        <w:spacing w:after="140" w:before="280" w:line="312"/>
      </w:pPr>
      <w:bookmarkStart w:id="100035" w:name="_Toc100035"/>
      <w:r>
        <w:rPr>
          <w:rFonts w:ascii="Times New Roman" w:eastAsia="SimSun"/>
          <w:b/>
          <w:bCs/>
          <w:color w:val="1A2330"/>
          <w:sz w:val="28"/>
          <w:szCs w:val="28"/>
        </w:rPr>
        <w:t xml:space="preserve">10.2  Decision log</w:t>
      </w:r>
      <w:bookmarkEnd w:id="100035"/>
    </w:p>
    <w:p>
      <w:pPr>
        <w:keepNext/>
        <w:spacing w:after="80" w:before="160" w:line="312"/>
      </w:pPr>
      <w:r>
        <w:rPr>
          <w:rFonts w:ascii="Times New Roman" w:eastAsia="SimSun"/>
          <w:b/>
          <w:bCs/>
          <w:color w:val="1A2330"/>
          <w:sz w:val="21"/>
          <w:szCs w:val="21"/>
        </w:rPr>
        <w:t xml:space="preserve">Table 14 - Decisions taken during the visit and after</w:t>
      </w:r>
    </w:p>
    <w:tbl>
      <w:tblPr>
        <w:tblW w:type="pct" w:w="100%"/>
        <w:tblBorders>
          <w:top w:val="single" w:color="D4875A" w:sz="4"/>
          <w:left w:val="none"/>
          <w:bottom w:val="single" w:color="D4875A" w:sz="4"/>
          <w:right w:val="none"/>
          <w:insideH w:val="single" w:color="DDD0C8" w:sz="1"/>
          <w:insideV w:val="none"/>
        </w:tblBorders>
      </w:tblPr>
      <w:tblGrid>
        <w:gridCol w:w="100"/>
        <w:gridCol w:w="100"/>
        <w:gridCol w:w="100"/>
        <w:gridCol w:w="100"/>
      </w:tblGrid>
      <w:tr>
        <w:trPr>
          <w:cantSplit/>
          <w:tblHeader/>
        </w:trPr>
        <w:tc>
          <w:tcPr>
            <w:tcW w:type="pct" w:w="14%"/>
            <w:shd w:fill="D4875A" w:val="clear"/>
            <w:tcMar>
              <w:top w:type="dxa" w:w="70"/>
              <w:left w:type="dxa" w:w="110"/>
              <w:bottom w:type="dxa" w:w="70"/>
              <w:right w:type="dxa" w:w="110"/>
            </w:tcMar>
          </w:tcPr>
          <w:p>
            <w:pPr>
              <w:spacing w:line="276"/>
            </w:pPr>
            <w:r>
              <w:rPr>
                <w:rFonts w:ascii="Times New Roman" w:eastAsia="SimSun"/>
                <w:b/>
                <w:bCs/>
                <w:color w:val="FFFFFF"/>
                <w:sz w:val="20"/>
                <w:szCs w:val="20"/>
              </w:rPr>
              <w:t xml:space="preserve">Date</w:t>
            </w:r>
          </w:p>
        </w:tc>
        <w:tc>
          <w:tcPr>
            <w:tcW w:type="pct" w:w="30%"/>
            <w:shd w:fill="D4875A" w:val="clear"/>
            <w:tcMar>
              <w:top w:type="dxa" w:w="70"/>
              <w:left w:type="dxa" w:w="110"/>
              <w:bottom w:type="dxa" w:w="70"/>
              <w:right w:type="dxa" w:w="110"/>
            </w:tcMar>
          </w:tcPr>
          <w:p>
            <w:pPr>
              <w:spacing w:line="276"/>
            </w:pPr>
            <w:r>
              <w:rPr>
                <w:rFonts w:ascii="Times New Roman" w:eastAsia="SimSun"/>
                <w:b/>
                <w:bCs/>
                <w:color w:val="FFFFFF"/>
                <w:sz w:val="20"/>
                <w:szCs w:val="20"/>
              </w:rPr>
              <w:t xml:space="preserve">Decision</w:t>
            </w:r>
          </w:p>
        </w:tc>
        <w:tc>
          <w:tcPr>
            <w:tcW w:type="pct" w:w="28%"/>
            <w:shd w:fill="D4875A" w:val="clear"/>
            <w:tcMar>
              <w:top w:type="dxa" w:w="70"/>
              <w:left w:type="dxa" w:w="110"/>
              <w:bottom w:type="dxa" w:w="70"/>
              <w:right w:type="dxa" w:w="110"/>
            </w:tcMar>
          </w:tcPr>
          <w:p>
            <w:pPr>
              <w:spacing w:line="276"/>
            </w:pPr>
            <w:r>
              <w:rPr>
                <w:rFonts w:ascii="Times New Roman" w:eastAsia="SimSun"/>
                <w:b/>
                <w:bCs/>
                <w:color w:val="FFFFFF"/>
                <w:sz w:val="20"/>
                <w:szCs w:val="20"/>
              </w:rPr>
              <w:t xml:space="preserve">Alternatives rejected</w:t>
            </w:r>
          </w:p>
        </w:tc>
        <w:tc>
          <w:tcPr>
            <w:tcW w:type="pct" w:w="28%"/>
            <w:shd w:fill="D4875A" w:val="clear"/>
            <w:tcMar>
              <w:top w:type="dxa" w:w="70"/>
              <w:left w:type="dxa" w:w="110"/>
              <w:bottom w:type="dxa" w:w="70"/>
              <w:right w:type="dxa" w:w="110"/>
            </w:tcMar>
          </w:tcPr>
          <w:p>
            <w:pPr>
              <w:spacing w:line="276"/>
            </w:pPr>
            <w:r>
              <w:rPr>
                <w:rFonts w:ascii="Times New Roman" w:eastAsia="SimSun"/>
                <w:b/>
                <w:bCs/>
                <w:color w:val="FFFFFF"/>
                <w:sz w:val="20"/>
                <w:szCs w:val="20"/>
              </w:rPr>
              <w:t xml:space="preserve">Rationale</w:t>
            </w:r>
          </w:p>
        </w:tc>
      </w:tr>
      <w:tr>
        <w:trPr>
          <w:cantSplit/>
        </w:trPr>
        <w:tc>
          <w:tcPr>
            <w:tcW w:type="pct" w:w="14%"/>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【date】</w:t>
            </w:r>
          </w:p>
        </w:tc>
        <w:tc>
          <w:tcPr>
            <w:tcW w:type="pct" w:w="30%"/>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【e.g. structure = option C】</w:t>
            </w:r>
          </w:p>
        </w:tc>
        <w:tc>
          <w:tcPr>
            <w:tcW w:type="pct" w:w="28%"/>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【alternatives】</w:t>
            </w:r>
          </w:p>
        </w:tc>
        <w:tc>
          <w:tcPr>
            <w:tcW w:type="pct" w:w="28%"/>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【one-line why】</w:t>
            </w:r>
          </w:p>
        </w:tc>
      </w:tr>
      <w:tr>
        <w:trPr>
          <w:cantSplit/>
        </w:trPr>
        <w:tc>
          <w:tcPr>
            <w:tcW w:type="pct" w:w="14%"/>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【date】</w:t>
            </w:r>
          </w:p>
        </w:tc>
        <w:tc>
          <w:tcPr>
            <w:tcW w:type="pct" w:w="30%"/>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【e.g. slice = family X】</w:t>
            </w:r>
          </w:p>
        </w:tc>
        <w:tc>
          <w:tcPr>
            <w:tcW w:type="pct" w:w="28%"/>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【alternatives】</w:t>
            </w:r>
          </w:p>
        </w:tc>
        <w:tc>
          <w:tcPr>
            <w:tcW w:type="pct" w:w="28%"/>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【one-line why】</w:t>
            </w:r>
          </w:p>
        </w:tc>
      </w:tr>
      <w:tr>
        <w:trPr>
          <w:cantSplit/>
        </w:trPr>
        <w:tc>
          <w:tcPr>
            <w:tcW w:type="pct" w:w="14%"/>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【date】</w:t>
            </w:r>
          </w:p>
        </w:tc>
        <w:tc>
          <w:tcPr>
            <w:tcW w:type="pct" w:w="30%"/>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【e.g. ISS-03 resolution adopted】</w:t>
            </w:r>
          </w:p>
        </w:tc>
        <w:tc>
          <w:tcPr>
            <w:tcW w:type="pct" w:w="28%"/>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【move gate date instead】</w:t>
            </w:r>
          </w:p>
        </w:tc>
        <w:tc>
          <w:tcPr>
            <w:tcW w:type="pct" w:w="28%"/>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【one-line why】</w:t>
            </w:r>
          </w:p>
        </w:tc>
      </w:tr>
    </w:tbl>
    <w:p>
      <w:pPr>
        <w:pStyle w:val="Heading1"/>
        <w:spacing w:after="200" w:before="400" w:line="312"/>
        <w:jc w:val="center"/>
      </w:pPr>
      <w:bookmarkStart w:id="100036" w:name="_Toc100036"/>
      <w:r>
        <w:rPr>
          <w:rFonts w:ascii="Times New Roman" w:eastAsia="SimSun"/>
          <w:b/>
          <w:bCs/>
          <w:color w:val="1A2330"/>
          <w:sz w:val="32"/>
          <w:szCs w:val="32"/>
        </w:rPr>
        <w:t xml:space="preserve">11  Risks and Mitigations</w:t>
      </w:r>
      <w:bookmarkEnd w:id="100036"/>
    </w:p>
    <w:p>
      <w:pPr>
        <w:spacing w:after="140" w:line="312"/>
        <w:jc w:val="left"/>
      </w:pPr>
      <w:r>
        <w:rPr>
          <w:rFonts w:ascii="Times New Roman" w:eastAsia="SimSun"/>
          <w:b w:val="false"/>
          <w:bCs w:val="false"/>
          <w:i w:val="false"/>
          <w:iCs w:val="false"/>
          <w:color w:val="000000"/>
          <w:sz w:val="24"/>
          <w:szCs w:val="24"/>
        </w:rPr>
        <w:t xml:space="preserve">The six register risks stand, with their mitigations already woven into this plan. Likelihood and consequence are on 1-to-5 scales; the rating band follows the register (HIGH at 12 and above).</w:t>
      </w:r>
    </w:p>
    <w:p>
      <w:pPr>
        <w:keepNext/>
        <w:spacing w:after="80" w:before="160" w:line="312"/>
      </w:pPr>
      <w:r>
        <w:rPr>
          <w:rFonts w:ascii="Times New Roman" w:eastAsia="SimSun"/>
          <w:b/>
          <w:bCs/>
          <w:color w:val="1A2330"/>
          <w:sz w:val="21"/>
          <w:szCs w:val="21"/>
        </w:rPr>
        <w:t xml:space="preserve">Table 15 - Risk register extract</w:t>
      </w:r>
    </w:p>
    <w:tbl>
      <w:tblPr>
        <w:tblW w:type="pct" w:w="100%"/>
        <w:tblBorders>
          <w:top w:val="single" w:color="D4875A" w:sz="4"/>
          <w:left w:val="none"/>
          <w:bottom w:val="single" w:color="D4875A" w:sz="4"/>
          <w:right w:val="none"/>
          <w:insideH w:val="single" w:color="DDD0C8" w:sz="1"/>
          <w:insideV w:val="none"/>
        </w:tblBorders>
      </w:tblPr>
      <w:tblGrid>
        <w:gridCol w:w="100"/>
        <w:gridCol w:w="100"/>
        <w:gridCol w:w="100"/>
        <w:gridCol w:w="100"/>
        <w:gridCol w:w="100"/>
      </w:tblGrid>
      <w:tr>
        <w:trPr>
          <w:cantSplit/>
          <w:tblHeader/>
        </w:trPr>
        <w:tc>
          <w:tcPr>
            <w:tcW w:type="pct" w:w="10%"/>
            <w:shd w:fill="D4875A" w:val="clear"/>
            <w:tcMar>
              <w:top w:type="dxa" w:w="70"/>
              <w:left w:type="dxa" w:w="110"/>
              <w:bottom w:type="dxa" w:w="70"/>
              <w:right w:type="dxa" w:w="110"/>
            </w:tcMar>
          </w:tcPr>
          <w:p>
            <w:pPr>
              <w:spacing w:line="276"/>
            </w:pPr>
            <w:r>
              <w:rPr>
                <w:rFonts w:ascii="Times New Roman" w:eastAsia="SimSun"/>
                <w:b/>
                <w:bCs/>
                <w:color w:val="FFFFFF"/>
                <w:sz w:val="20"/>
                <w:szCs w:val="20"/>
              </w:rPr>
              <w:t xml:space="preserve">ID</w:t>
            </w:r>
          </w:p>
        </w:tc>
        <w:tc>
          <w:tcPr>
            <w:tcW w:type="pct" w:w="34%"/>
            <w:shd w:fill="D4875A" w:val="clear"/>
            <w:tcMar>
              <w:top w:type="dxa" w:w="70"/>
              <w:left w:type="dxa" w:w="110"/>
              <w:bottom w:type="dxa" w:w="70"/>
              <w:right w:type="dxa" w:w="110"/>
            </w:tcMar>
          </w:tcPr>
          <w:p>
            <w:pPr>
              <w:spacing w:line="276"/>
            </w:pPr>
            <w:r>
              <w:rPr>
                <w:rFonts w:ascii="Times New Roman" w:eastAsia="SimSun"/>
                <w:b/>
                <w:bCs/>
                <w:color w:val="FFFFFF"/>
                <w:sz w:val="20"/>
                <w:szCs w:val="20"/>
              </w:rPr>
              <w:t xml:space="preserve">Risk</w:t>
            </w:r>
          </w:p>
        </w:tc>
        <w:tc>
          <w:tcPr>
            <w:tcW w:type="pct" w:w="8%"/>
            <w:shd w:fill="D4875A" w:val="clear"/>
            <w:tcMar>
              <w:top w:type="dxa" w:w="70"/>
              <w:left w:type="dxa" w:w="110"/>
              <w:bottom w:type="dxa" w:w="70"/>
              <w:right w:type="dxa" w:w="110"/>
            </w:tcMar>
          </w:tcPr>
          <w:p>
            <w:pPr>
              <w:spacing w:line="276"/>
            </w:pPr>
            <w:r>
              <w:rPr>
                <w:rFonts w:ascii="Times New Roman" w:eastAsia="SimSun"/>
                <w:b/>
                <w:bCs/>
                <w:color w:val="FFFFFF"/>
                <w:sz w:val="20"/>
                <w:szCs w:val="20"/>
              </w:rPr>
              <w:t xml:space="preserve">L x C</w:t>
            </w:r>
          </w:p>
        </w:tc>
        <w:tc>
          <w:tcPr>
            <w:tcW w:type="pct" w:w="12%"/>
            <w:shd w:fill="D4875A" w:val="clear"/>
            <w:tcMar>
              <w:top w:type="dxa" w:w="70"/>
              <w:left w:type="dxa" w:w="110"/>
              <w:bottom w:type="dxa" w:w="70"/>
              <w:right w:type="dxa" w:w="110"/>
            </w:tcMar>
          </w:tcPr>
          <w:p>
            <w:pPr>
              <w:spacing w:line="276"/>
            </w:pPr>
            <w:r>
              <w:rPr>
                <w:rFonts w:ascii="Times New Roman" w:eastAsia="SimSun"/>
                <w:b/>
                <w:bCs/>
                <w:color w:val="FFFFFF"/>
                <w:sz w:val="20"/>
                <w:szCs w:val="20"/>
              </w:rPr>
              <w:t xml:space="preserve">Rating</w:t>
            </w:r>
          </w:p>
        </w:tc>
        <w:tc>
          <w:tcPr>
            <w:tcW w:type="pct" w:w="36%"/>
            <w:shd w:fill="D4875A" w:val="clear"/>
            <w:tcMar>
              <w:top w:type="dxa" w:w="70"/>
              <w:left w:type="dxa" w:w="110"/>
              <w:bottom w:type="dxa" w:w="70"/>
              <w:right w:type="dxa" w:w="110"/>
            </w:tcMar>
          </w:tcPr>
          <w:p>
            <w:pPr>
              <w:spacing w:line="276"/>
            </w:pPr>
            <w:r>
              <w:rPr>
                <w:rFonts w:ascii="Times New Roman" w:eastAsia="SimSun"/>
                <w:b/>
                <w:bCs/>
                <w:color w:val="FFFFFF"/>
                <w:sz w:val="20"/>
                <w:szCs w:val="20"/>
              </w:rPr>
              <w:t xml:space="preserve">Mitigation in this plan</w:t>
            </w:r>
          </w:p>
        </w:tc>
      </w:tr>
      <w:tr>
        <w:trPr>
          <w:cantSplit/>
        </w:trPr>
        <w:tc>
          <w:tcPr>
            <w:tcW w:type="pct" w:w="10%"/>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RSK-001</w:t>
            </w:r>
          </w:p>
        </w:tc>
        <w:tc>
          <w:tcPr>
            <w:tcW w:type="pct" w:w="34%"/>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Technical feasibility overpromised - full automatic 2D-to-3D is research-grade</w:t>
            </w:r>
          </w:p>
        </w:tc>
        <w:tc>
          <w:tcPr>
            <w:tcW w:type="pct" w:w="8%"/>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4 x 4</w:t>
            </w:r>
          </w:p>
        </w:tc>
        <w:tc>
          <w:tcPr>
            <w:tcW w:type="pct" w:w="12%"/>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HIGH</w:t>
            </w:r>
          </w:p>
        </w:tc>
        <w:tc>
          <w:tcPr>
            <w:tcW w:type="pct" w:w="36%"/>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Narrow slice (Section 8); parametric core with AI assist (4.3); paid spike before outcomes</w:t>
            </w:r>
          </w:p>
        </w:tc>
      </w:tr>
      <w:tr>
        <w:trPr>
          <w:cantSplit/>
        </w:trPr>
        <w:tc>
          <w:tcPr>
            <w:tcW w:type="pct" w:w="10%"/>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RSK-002</w:t>
            </w:r>
          </w:p>
        </w:tc>
        <w:tc>
          <w:tcPr>
            <w:tcW w:type="pct" w:w="34%"/>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Deal structure undefined while work begins - unpriced hours accumulate</w:t>
            </w:r>
          </w:p>
        </w:tc>
        <w:tc>
          <w:tcPr>
            <w:tcW w:type="pct" w:w="8%"/>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4 x 3</w:t>
            </w:r>
          </w:p>
        </w:tc>
        <w:tc>
          <w:tcPr>
            <w:tcW w:type="pct" w:w="12%"/>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HIGH</w:t>
            </w:r>
          </w:p>
        </w:tc>
        <w:tc>
          <w:tcPr>
            <w:tcW w:type="pct" w:w="36%"/>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20-hour cap (Section 10); term sheet gate 2026-10-03; spike paid under any structure</w:t>
            </w:r>
          </w:p>
        </w:tc>
      </w:tr>
      <w:tr>
        <w:trPr>
          <w:cantSplit/>
        </w:trPr>
        <w:tc>
          <w:tcPr>
            <w:tcW w:type="pct" w:w="10%"/>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RSK-003</w:t>
            </w:r>
          </w:p>
        </w:tc>
        <w:tc>
          <w:tcPr>
            <w:tcW w:type="pct" w:w="34%"/>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IP ownership ambiguity over contributed code</w:t>
            </w:r>
          </w:p>
        </w:tc>
        <w:tc>
          <w:tcPr>
            <w:tcW w:type="pct" w:w="8%"/>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3 x 4</w:t>
            </w:r>
          </w:p>
        </w:tc>
        <w:tc>
          <w:tcPr>
            <w:tcW w:type="pct" w:w="12%"/>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HIGH</w:t>
            </w:r>
          </w:p>
        </w:tc>
        <w:tc>
          <w:tcPr>
            <w:tcW w:type="pct" w:w="36%"/>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Written IP terms before build (term sheet clauses; work package 1.2.4)</w:t>
            </w:r>
          </w:p>
        </w:tc>
      </w:tr>
      <w:tr>
        <w:trPr>
          <w:cantSplit/>
        </w:trPr>
        <w:tc>
          <w:tcPr>
            <w:tcW w:type="pct" w:w="10%"/>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RSK-004</w:t>
            </w:r>
          </w:p>
        </w:tc>
        <w:tc>
          <w:tcPr>
            <w:tcW w:type="pct" w:w="34%"/>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Market unknown - BIM/CAD vendors occupy adjacent space; no buyer named</w:t>
            </w:r>
          </w:p>
        </w:tc>
        <w:tc>
          <w:tcPr>
            <w:tcW w:type="pct" w:w="8%"/>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3 x 3</w:t>
            </w:r>
          </w:p>
        </w:tc>
        <w:tc>
          <w:tcPr>
            <w:tcW w:type="pct" w:w="12%"/>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MEDIUM</w:t>
            </w:r>
          </w:p>
        </w:tc>
        <w:tc>
          <w:tcPr>
            <w:tcW w:type="pct" w:w="36%"/>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Target user extracted from documents + conversation; three prospective users named before build</w:t>
            </w:r>
          </w:p>
        </w:tc>
      </w:tr>
      <w:tr>
        <w:trPr>
          <w:cantSplit/>
        </w:trPr>
        <w:tc>
          <w:tcPr>
            <w:tcW w:type="pct" w:w="10%"/>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RSK-005</w:t>
            </w:r>
          </w:p>
        </w:tc>
        <w:tc>
          <w:tcPr>
            <w:tcW w:type="pct" w:w="34%"/>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Key-person dependency on Mario</w:t>
            </w:r>
          </w:p>
        </w:tc>
        <w:tc>
          <w:tcPr>
            <w:tcW w:type="pct" w:w="8%"/>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3 x 3</w:t>
            </w:r>
          </w:p>
        </w:tc>
        <w:tc>
          <w:tcPr>
            <w:tcW w:type="pct" w:w="12%"/>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MEDIUM</w:t>
            </w:r>
          </w:p>
        </w:tc>
        <w:tc>
          <w:tcPr>
            <w:tcW w:type="pct" w:w="36%"/>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Codify his process mapping into the product from day one</w:t>
            </w:r>
          </w:p>
        </w:tc>
      </w:tr>
      <w:tr>
        <w:trPr>
          <w:cantSplit/>
        </w:trPr>
        <w:tc>
          <w:tcPr>
            <w:tcW w:type="pct" w:w="10%"/>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RSK-006</w:t>
            </w:r>
          </w:p>
        </w:tc>
        <w:tc>
          <w:tcPr>
            <w:tcW w:type="pct" w:w="34%"/>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Payment risk if Mario is bootstrapping</w:t>
            </w:r>
          </w:p>
        </w:tc>
        <w:tc>
          <w:tcPr>
            <w:tcW w:type="pct" w:w="8%"/>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2 x 4</w:t>
            </w:r>
          </w:p>
        </w:tc>
        <w:tc>
          <w:tcPr>
            <w:tcW w:type="pct" w:w="12%"/>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MEDIUM</w:t>
            </w:r>
          </w:p>
        </w:tc>
        <w:tc>
          <w:tcPr>
            <w:tcW w:type="pct" w:w="36%"/>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Milestone invoicing; spike paid up front; funding reality in session B question 4</w:t>
            </w:r>
          </w:p>
        </w:tc>
      </w:tr>
    </w:tbl>
    <w:p>
      <w:pPr>
        <w:pStyle w:val="Heading1"/>
        <w:spacing w:after="200" w:before="400" w:line="312"/>
        <w:jc w:val="center"/>
      </w:pPr>
      <w:bookmarkStart w:id="100037" w:name="_Toc100037"/>
      <w:r>
        <w:rPr>
          <w:rFonts w:ascii="Times New Roman" w:eastAsia="SimSun"/>
          <w:b/>
          <w:bCs/>
          <w:color w:val="1A2330"/>
          <w:sz w:val="32"/>
          <w:szCs w:val="32"/>
        </w:rPr>
        <w:t xml:space="preserve">12  Reference</w:t>
      </w:r>
      <w:bookmarkEnd w:id="100037"/>
    </w:p>
    <w:p>
      <w:pPr>
        <w:keepNext/>
        <w:spacing w:after="80" w:before="160" w:line="312"/>
      </w:pPr>
      <w:r>
        <w:rPr>
          <w:rFonts w:ascii="Times New Roman" w:eastAsia="SimSun"/>
          <w:b/>
          <w:bCs/>
          <w:color w:val="1A2330"/>
          <w:sz w:val="21"/>
          <w:szCs w:val="21"/>
        </w:rPr>
        <w:t xml:space="preserve">Table 16 - Source documents and locations</w:t>
      </w:r>
    </w:p>
    <w:tbl>
      <w:tblPr>
        <w:tblW w:type="pct" w:w="100%"/>
        <w:tblBorders>
          <w:top w:val="single" w:color="D4875A" w:sz="4"/>
          <w:left w:val="none"/>
          <w:bottom w:val="single" w:color="D4875A" w:sz="4"/>
          <w:right w:val="none"/>
          <w:insideH w:val="single" w:color="DDD0C8" w:sz="1"/>
          <w:insideV w:val="none"/>
        </w:tblBorders>
      </w:tblPr>
      <w:tblGrid>
        <w:gridCol w:w="100"/>
        <w:gridCol w:w="100"/>
      </w:tblGrid>
      <w:tr>
        <w:trPr>
          <w:cantSplit/>
          <w:tblHeader/>
        </w:trPr>
        <w:tc>
          <w:tcPr>
            <w:tcW w:type="pct" w:w="46%"/>
            <w:shd w:fill="D4875A" w:val="clear"/>
            <w:tcMar>
              <w:top w:type="dxa" w:w="70"/>
              <w:left w:type="dxa" w:w="110"/>
              <w:bottom w:type="dxa" w:w="70"/>
              <w:right w:type="dxa" w:w="110"/>
            </w:tcMar>
          </w:tcPr>
          <w:p>
            <w:pPr>
              <w:spacing w:line="276"/>
            </w:pPr>
            <w:r>
              <w:rPr>
                <w:rFonts w:ascii="Times New Roman" w:eastAsia="SimSun"/>
                <w:b/>
                <w:bCs/>
                <w:color w:val="FFFFFF"/>
                <w:sz w:val="20"/>
                <w:szCs w:val="20"/>
              </w:rPr>
              <w:t xml:space="preserve">Item</w:t>
            </w:r>
          </w:p>
        </w:tc>
        <w:tc>
          <w:tcPr>
            <w:tcW w:type="pct" w:w="54%"/>
            <w:shd w:fill="D4875A" w:val="clear"/>
            <w:tcMar>
              <w:top w:type="dxa" w:w="70"/>
              <w:left w:type="dxa" w:w="110"/>
              <w:bottom w:type="dxa" w:w="70"/>
              <w:right w:type="dxa" w:w="110"/>
            </w:tcMar>
          </w:tcPr>
          <w:p>
            <w:pPr>
              <w:spacing w:line="276"/>
            </w:pPr>
            <w:r>
              <w:rPr>
                <w:rFonts w:ascii="Times New Roman" w:eastAsia="SimSun"/>
                <w:b/>
                <w:bCs/>
                <w:color w:val="FFFFFF"/>
                <w:sz w:val="20"/>
                <w:szCs w:val="20"/>
              </w:rPr>
              <w:t xml:space="preserve">Location</w:t>
            </w:r>
          </w:p>
        </w:tc>
      </w:tr>
      <w:tr>
        <w:trPr>
          <w:cantSplit/>
        </w:trPr>
        <w:tc>
          <w:tcPr>
            <w:tcW w:type="pct" w:w="46%"/>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Framework document 1 - Comprehensive Process Mapping Guide</w:t>
            </w:r>
          </w:p>
        </w:tc>
        <w:tc>
          <w:tcPr>
            <w:tcW w:type="pct" w:w="54%"/>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https://docs.google.com/document/d/1id-u-7OmFUvWuviULkmcrhFTbhEYsFP5BRFiiLRSbLs/edit</w:t>
            </w:r>
          </w:p>
        </w:tc>
      </w:tr>
      <w:tr>
        <w:trPr>
          <w:cantSplit/>
        </w:trPr>
        <w:tc>
          <w:tcPr>
            <w:tcW w:type="pct" w:w="46%"/>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Framework document 2 - AI-Assisted 3D Modeling from 2D Drawings - Development Framework and Process Map</w:t>
            </w:r>
          </w:p>
        </w:tc>
        <w:tc>
          <w:tcPr>
            <w:tcW w:type="pct" w:w="54%"/>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https://docs.google.com/document/d/1mhAnWBf2kvbDEJzxnp_y9phcEHnysdx_BhakwcMYhdo/edit</w:t>
            </w:r>
          </w:p>
        </w:tc>
      </w:tr>
      <w:tr>
        <w:trPr>
          <w:cantSplit/>
        </w:trPr>
        <w:tc>
          <w:tcPr>
            <w:tcW w:type="pct" w:w="46%"/>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Advisor assessment (provisional)</w:t>
            </w:r>
          </w:p>
        </w:tc>
        <w:tc>
          <w:tcPr>
            <w:tcW w:type="pct" w:w="54%"/>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projects/Mario Software/01_System/ADVISOR_ASSESSMENT.md</w:t>
            </w:r>
          </w:p>
        </w:tc>
      </w:tr>
      <w:tr>
        <w:trPr>
          <w:cantSplit/>
        </w:trPr>
        <w:tc>
          <w:tcPr>
            <w:tcW w:type="pct" w:w="46%"/>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Registers (authoritative)</w:t>
            </w:r>
          </w:p>
        </w:tc>
        <w:tc>
          <w:tcPr>
            <w:tcW w:type="pct" w:w="54%"/>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projects/Mario Software/03_Registers/ (ACT, RSK, DEC)</w:t>
            </w:r>
          </w:p>
        </w:tc>
      </w:tr>
      <w:tr>
        <w:trPr>
          <w:cantSplit/>
        </w:trPr>
        <w:tc>
          <w:tcPr>
            <w:tcW w:type="pct" w:w="46%"/>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Export how-to and links</w:t>
            </w:r>
          </w:p>
        </w:tc>
        <w:tc>
          <w:tcPr>
            <w:tcW w:type="pct" w:w="54%"/>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projects/Mario Software/04_Inputs/GDOC_LINKS.md</w:t>
            </w:r>
          </w:p>
        </w:tc>
      </w:tr>
      <w:tr>
        <w:trPr>
          <w:cantSplit/>
        </w:trPr>
        <w:tc>
          <w:tcPr>
            <w:tcW w:type="pct" w:w="46%"/>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Portfolio dashboard</w:t>
            </w:r>
          </w:p>
        </w:tc>
        <w:tc>
          <w:tcPr>
            <w:tcW w:type="pct" w:w="54%"/>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Portal, Investments tab, Mario Software record</w:t>
            </w:r>
          </w:p>
        </w:tc>
      </w:tr>
      <w:tr>
        <w:trPr>
          <w:cantSplit/>
        </w:trPr>
        <w:tc>
          <w:tcPr>
            <w:tcW w:type="pct" w:w="46%"/>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Progress CLI</w:t>
            </w:r>
          </w:p>
        </w:tc>
        <w:tc>
          <w:tcPr>
            <w:tcW w:type="pct" w:w="54%"/>
            <w:tcMar>
              <w:top w:type="dxa" w:w="60"/>
              <w:left w:type="dxa" w:w="110"/>
              <w:bottom w:type="dxa" w:w="60"/>
              <w:right w:type="dxa" w:w="110"/>
            </w:tcMar>
          </w:tcPr>
          <w:p>
            <w:pPr>
              <w:spacing w:line="276"/>
            </w:pPr>
            <w:r>
              <w:rPr>
                <w:rFonts w:ascii="Times New Roman" w:eastAsia="SimSun"/>
                <w:b w:val="false"/>
                <w:bCs w:val="false"/>
                <w:color w:val="000000"/>
                <w:sz w:val="20"/>
                <w:szCs w:val="20"/>
              </w:rPr>
              <w:t xml:space="preserve">python tools/update_progress.py mario-software --note / --hours / --done</w:t>
            </w:r>
          </w:p>
        </w:tc>
      </w:tr>
    </w:tbl>
    <w:p>
      <w:pPr>
        <w:spacing w:after="140" w:line="312"/>
        <w:jc w:val="left"/>
      </w:pPr>
      <w:r>
        <w:rPr>
          <w:rFonts w:ascii="Times New Roman" w:eastAsia="SimSun"/>
          <w:b/>
          <w:bCs/>
          <w:i w:val="false"/>
          <w:iCs w:val="false"/>
          <w:color w:val="000000"/>
          <w:sz w:val="24"/>
          <w:szCs w:val="24"/>
        </w:rPr>
        <w:t xml:space="preserve">End of plan. </w:t>
      </w:r>
      <w:r>
        <w:rPr>
          <w:rFonts w:ascii="Times New Roman" w:eastAsia="SimSun"/>
          <w:b w:val="false"/>
          <w:bCs w:val="false"/>
          <w:i w:val="false"/>
          <w:iCs w:val="false"/>
          <w:color w:val="000000"/>
          <w:sz w:val="24"/>
          <w:szCs w:val="24"/>
        </w:rPr>
        <w:t xml:space="preserve">Carry it, work it, log the hours - and let the 2026-10-03 gate make the decision.</w:t>
      </w:r>
    </w:p>
    <w:sectPr>
      <w:headerReference w:type="default" r:id="rId8"/>
      <w:footerReference w:type="default" r:id="rId9"/>
      <w:type w:val="nextPage"/>
      <w:pgSz w:w="11906" w:h="16838" w:orient="portrait"/>
      <w:pgMar w:top="1440" w:right="1417" w:bottom="1440" w:left="1701" w:header="708" w:footer="708" w:gutter="0"/>
      <w:pgNumType w:start="1" w:fmt="decimal"/>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eastAsia="SimSun"/>
        <w:color w:val="6A7380"/>
        <w:sz w:val="18"/>
        <w:szCs w:val="18"/>
      </w:rPr>
      <w:fldChar w:fldCharType="begin"/>
      <w:instrText xml:space="preserve"> PAGE \* ROMAN \* MERGEFORMAT </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eastAsia="SimSun"/>
        <w:color w:val="6A7380"/>
        <w:sz w:val="18"/>
        <w:szCs w:val="18"/>
      </w:rPr>
      <w:fldChar w:fldCharType="begin"/>
      <w:instrText xml:space="preserve"> PAGE \* arabic \* MERGEFORMAT </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DD0C8" w:sz="2" w:space="4"/>
      </w:pBdr>
      <w:jc w:val="right"/>
    </w:pPr>
    <w:r>
      <w:rPr>
        <w:rFonts w:ascii="Times New Roman" w:eastAsia="SimSun"/>
        <w:color w:val="909090"/>
        <w:sz w:val="16"/>
        <w:szCs w:val="16"/>
      </w:rPr>
      <w:t xml:space="preserve">Mario Software - Project Plan &amp; WBS - v1.0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640" w:hanging="360"/>
      </w:pPr>
    </w:lvl>
  </w:abstractNum>
  <w:abstractNum w:abstractNumId="3" w15:restartNumberingAfterBreak="0">
    <w:multiLevelType w:val="hybridMultilevel"/>
    <w:lvl w:ilvl="0" w15:tentative="1">
      <w:start w:val="1"/>
      <w:numFmt w:val="decimal"/>
      <w:lvlText w:val="%1."/>
      <w:lvlJc w:val="left"/>
      <w:pPr>
        <w:ind w:left="640" w:hanging="360"/>
      </w:pPr>
    </w:lvl>
  </w:abstractNum>
  <w:abstractNum w:abstractNumId="4" w15:restartNumberingAfterBreak="0">
    <w:multiLevelType w:val="hybridMultilevel"/>
    <w:lvl w:ilvl="0" w15:tentative="1">
      <w:start w:val="1"/>
      <w:numFmt w:val="decimal"/>
      <w:lvlText w:val="%1."/>
      <w:lvlJc w:val="left"/>
      <w:pPr>
        <w:ind w:left="64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color w:val="000000"/>
        <w:sz w:val="24"/>
        <w:szCs w:val="24"/>
      </w:rPr>
    </w:rPrDefault>
    <w:pPrDefault>
      <w:pPr>
        <w:spacing w:line="312"/>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200" w:before="400" w:line="312"/>
      <w:outlineLvl w:val="0"/>
    </w:pPr>
    <w:rPr>
      <w:rFonts w:ascii="Times New Roman" w:eastAsia="SimSun"/>
      <w:b/>
      <w:bCs/>
      <w:color w:val="1A2330"/>
      <w:sz w:val="32"/>
      <w:szCs w:val="32"/>
    </w:rPr>
  </w:style>
  <w:style w:type="paragraph" w:styleId="Heading2">
    <w:name w:val="Heading 2"/>
    <w:basedOn w:val="Normal"/>
    <w:next w:val="Normal"/>
    <w:qFormat/>
    <w:pPr>
      <w:spacing w:after="140" w:before="280" w:line="312"/>
      <w:outlineLvl w:val="1"/>
    </w:pPr>
    <w:rPr>
      <w:rFonts w:ascii="Times New Roman" w:eastAsia="SimSun"/>
      <w:b/>
      <w:bCs/>
      <w:color w:val="1A2330"/>
      <w:sz w:val="28"/>
      <w:szCs w:val="28"/>
    </w:rPr>
  </w:style>
  <w:style w:type="paragraph" w:styleId="Heading3">
    <w:pPr>
      <w:outlineLvl w:val="2"/>
    </w:pPr>
    <w:name w:val="Heading 3"/>
    <w:basedOn w:val="Normal"/>
    <w:next w:val="Normal"/>
    <w:qFormat/>
    <w:rPr>
      <w:color w:val="1F4D78"/>
      <w:sz w:val="24"/>
      <w:szCs w:val="24"/>
    </w:rPr>
  </w:style>
  <w:style w:type="paragraph" w:styleId="Heading4">
    <w:pPr>
      <w:outlineLvl w:val="3"/>
    </w:pPr>
    <w:name w:val="Heading 4"/>
    <w:basedOn w:val="Normal"/>
    <w:next w:val="Normal"/>
    <w:qFormat/>
    <w:rPr>
      <w:i/>
      <w:iCs/>
      <w:color w:val="2E74B5"/>
    </w:rPr>
  </w:style>
  <w:style w:type="paragraph" w:styleId="Heading5">
    <w:pPr>
      <w:outlineLvl w:val="4"/>
    </w:pPr>
    <w:name w:val="Heading 5"/>
    <w:basedOn w:val="Normal"/>
    <w:next w:val="Normal"/>
    <w:qFormat/>
    <w:rPr>
      <w:color w:val="2E74B5"/>
    </w:rPr>
  </w:style>
  <w:style w:type="paragraph" w:styleId="Heading6">
    <w:pPr>
      <w:outlineLvl w:val="5"/>
    </w:pPr>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xmlns:w="http://schemas.openxmlformats.org/wordprocessingml/2006/main" w:type="paragraph" w:styleId="9">
    <w:name w:val="toc 1"/>
    <w:basedOn w:val="Normal"/>
    <w:uiPriority w:val="39"/>
    <w:pPr>
      <w:tabs>
        <w:tab w:val="right" w:leader="dot" w:pos="9026"/>
      </w:tabs>
      <w:spacing w:before="120" w:after="60"/>
    </w:pPr>
    <w:rPr>
      <w:b/>
      <w:bCs/>
    </w:rPr>
  </w:style>
  <w:style xmlns:w="http://schemas.openxmlformats.org/wordprocessingml/2006/main" w:type="paragraph" w:styleId="11">
    <w:name w:val="toc 2"/>
    <w:basedOn w:val="Normal"/>
    <w:uiPriority w:val="39"/>
    <w:pPr>
      <w:tabs>
        <w:tab w:val="right" w:leader="dot" w:pos="9026"/>
      </w:tabs>
      <w:ind w:left="360"/>
      <w:spacing w:before="60" w:after="40"/>
    </w:pPr>
  </w:style>
  <w:style xmlns:w="http://schemas.openxmlformats.org/wordprocessingml/2006/main" w:type="paragraph" w:styleId="12">
    <w:name w:val="toc 3"/>
    <w:basedOn w:val="Normal"/>
    <w:uiPriority w:val="39"/>
    <w:pPr>
      <w:tabs>
        <w:tab w:val="right" w:leader="dot" w:pos="9026"/>
      </w:tabs>
      <w:ind w:left="720"/>
      <w:spacing w:before="40" w:after="20"/>
    </w:p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header" Target="header1.xml"/><Relationship Id="rId9" Type="http://schemas.openxmlformats.org/officeDocument/2006/relationships/footer" Target="footer2.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Mario Software - Project Plan &amp; Work Breakdown Structure</dc:title>
  <dc:creator>Zaid Al Dabbag</dc:creator>
  <cp:lastModifiedBy>Un-named</cp:lastModifiedBy>
  <cp:revision>1</cp:revision>
  <dcterms:created xsi:type="dcterms:W3CDTF">2026-09-13T11:09:02.535Z</dcterms:created>
  <dcterms:modified xsi:type="dcterms:W3CDTF">2026-09-13T11:09:02.535Z</dcterms:modified>
</cp:coreProperties>
</file>

<file path=docProps/custom.xml><?xml version="1.0" encoding="utf-8"?>
<Properties xmlns="http://schemas.openxmlformats.org/officeDocument/2006/custom-properties" xmlns:vt="http://schemas.openxmlformats.org/officeDocument/2006/docPropsVTypes"/>
</file>