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rFonts w:ascii="Calibri" w:cs="Calibri" w:eastAsia="Calibri" w:hAnsi="Calibri"/>
          <w:b/>
          <w:bCs/>
          <w:color w:val="B00020"/>
          <w:sz w:val="20"/>
          <w:szCs w:val="20"/>
        </w:rPr>
        <w:t xml:space="preserve">CONFIDENTIAL</w:t>
      </w:r>
    </w:p>
    <w:p>
      <w:pPr>
        <w:spacing w:after="0" w:before="300"/>
        <w:jc w:val="center"/>
      </w:pPr>
      <w:r>
        <w:rPr>
          <w:rFonts w:ascii="Calibri" w:cs="Calibri" w:eastAsia="Calibri" w:hAnsi="Calibri"/>
          <w:b/>
          <w:bCs/>
          <w:color w:val="1F3B57"/>
          <w:sz w:val="64"/>
          <w:szCs w:val="64"/>
        </w:rPr>
        <w:t xml:space="preserve">HAD Digital</w:t>
      </w:r>
    </w:p>
    <w:p>
      <w:pPr>
        <w:spacing w:after="60" w:before="120"/>
        <w:jc w:val="center"/>
      </w:pPr>
      <w:r>
        <w:rPr>
          <w:rFonts w:ascii="Calibri" w:cs="Calibri" w:eastAsia="Calibri" w:hAnsi="Calibri"/>
          <w:color w:val="0F6E6A"/>
          <w:sz w:val="26"/>
          <w:szCs w:val="26"/>
        </w:rPr>
        <w:t xml:space="preserve">A Coordinated Digital Platform for Home Hospitalization (HAD) in Oncology</w:t>
      </w:r>
    </w:p>
    <w:p>
      <w:pPr>
        <w:spacing w:after="500" w:before="60"/>
        <w:jc w:val="center"/>
      </w:pPr>
      <w:r>
        <w:rPr>
          <w:rFonts w:ascii="Calibri" w:cs="Calibri" w:eastAsia="Calibri" w:hAnsi="Calibri"/>
          <w:i/>
          <w:iCs/>
          <w:color w:val="5A5F66"/>
          <w:sz w:val="22"/>
          <w:szCs w:val="22"/>
        </w:rPr>
        <w:t xml:space="preserve">including the integrated Toxicity Reader module</w:t>
      </w:r>
    </w:p>
    <w:p>
      <w:pPr>
        <w:spacing w:after="40"/>
        <w:jc w:val="center"/>
      </w:pPr>
      <w:r>
        <w:rPr>
          <w:rFonts w:ascii="Calibri" w:cs="Calibri" w:eastAsia="Calibri" w:hAnsi="Calibri"/>
          <w:b/>
          <w:bCs/>
          <w:color w:val="1F3B57"/>
          <w:sz w:val="24"/>
          <w:szCs w:val="24"/>
        </w:rPr>
        <w:t xml:space="preserve">FUNCTIONAL &amp; TECHNICAL SPECIFICATIONS</w:t>
      </w:r>
    </w:p>
    <w:p>
      <w:pPr>
        <w:spacing w:after="400"/>
        <w:jc w:val="center"/>
      </w:pPr>
      <w:r>
        <w:rPr>
          <w:rFonts w:ascii="Calibri" w:cs="Calibri" w:eastAsia="Calibri" w:hAnsi="Calibri"/>
          <w:color w:val="5A5F66"/>
          <w:sz w:val="20"/>
          <w:szCs w:val="20"/>
        </w:rPr>
        <w:t xml:space="preserve">(Cahier des Charges)</w:t>
      </w:r>
    </w:p>
    <w:p>
      <w:pPr>
        <w:spacing w:before="80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tblGrid>
      <w:tr>
        <w:tc>
          <w:tcPr>
            <w:tcW w:type="dxa" w:w="2200"/>
            <w:tcMar>
              <w:top w:type="dxa" w:w="80"/>
              <w:left w:type="dxa" w:w="120"/>
              <w:bottom w:type="dxa" w:w="80"/>
              <w:right w:type="dxa" w:w="120"/>
            </w:tcMar>
            <w:vAlign w:val="center"/>
          </w:tcPr>
          <w:p>
            <w:pPr>
              <w:jc w:val="left"/>
            </w:pPr>
            <w:r>
              <w:rPr>
                <w:rFonts w:ascii="Calibri" w:cs="Calibri" w:eastAsia="Calibri" w:hAnsi="Calibri"/>
                <w:b/>
                <w:bCs/>
                <w:color w:val="222222"/>
                <w:sz w:val="20"/>
                <w:szCs w:val="20"/>
              </w:rPr>
              <w:t xml:space="preserve">Author / Concept Originator</w:t>
            </w:r>
          </w:p>
        </w:tc>
        <w:tc>
          <w:tcPr>
            <w:tcW w:type="dxa" w:w="3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Dr Kais Aldabbagh</w:t>
            </w:r>
          </w:p>
        </w:tc>
      </w:tr>
      <w:tr>
        <w:tc>
          <w:tcPr>
            <w:tcW w:type="dxa" w:w="2200"/>
            <w:tcMar>
              <w:top w:type="dxa" w:w="80"/>
              <w:left w:type="dxa" w:w="120"/>
              <w:bottom w:type="dxa" w:w="80"/>
              <w:right w:type="dxa" w:w="120"/>
            </w:tcMar>
            <w:vAlign w:val="center"/>
          </w:tcPr>
          <w:p>
            <w:pPr>
              <w:jc w:val="left"/>
            </w:pPr>
            <w:r>
              <w:rPr>
                <w:rFonts w:ascii="Calibri" w:cs="Calibri" w:eastAsia="Calibri" w:hAnsi="Calibri"/>
                <w:b/>
                <w:bCs/>
                <w:color w:val="222222"/>
                <w:sz w:val="20"/>
                <w:szCs w:val="20"/>
              </w:rPr>
              <w:t xml:space="preserve">Affiliation</w:t>
            </w:r>
          </w:p>
        </w:tc>
        <w:tc>
          <w:tcPr>
            <w:tcW w:type="dxa" w:w="3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Polyclinique St Côme — Medical Oncology</w:t>
            </w:r>
          </w:p>
        </w:tc>
      </w:tr>
      <w:tr>
        <w:tc>
          <w:tcPr>
            <w:tcW w:type="dxa" w:w="2200"/>
            <w:tcMar>
              <w:top w:type="dxa" w:w="80"/>
              <w:left w:type="dxa" w:w="120"/>
              <w:bottom w:type="dxa" w:w="80"/>
              <w:right w:type="dxa" w:w="120"/>
            </w:tcMar>
            <w:vAlign w:val="center"/>
          </w:tcPr>
          <w:p>
            <w:pPr>
              <w:jc w:val="left"/>
            </w:pPr>
            <w:r>
              <w:rPr>
                <w:rFonts w:ascii="Calibri" w:cs="Calibri" w:eastAsia="Calibri" w:hAnsi="Calibri"/>
                <w:b/>
                <w:bCs/>
                <w:color w:val="222222"/>
                <w:sz w:val="20"/>
                <w:szCs w:val="20"/>
              </w:rPr>
              <w:t xml:space="preserve">Document status</w:t>
            </w:r>
          </w:p>
        </w:tc>
        <w:tc>
          <w:tcPr>
            <w:tcW w:type="dxa" w:w="3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Draft v0.1 — for internal use, IP anteriority record and controlled disclosure under NDA</w:t>
            </w:r>
          </w:p>
        </w:tc>
      </w:tr>
      <w:tr>
        <w:tc>
          <w:tcPr>
            <w:tcW w:type="dxa" w:w="2200"/>
            <w:tcMar>
              <w:top w:type="dxa" w:w="80"/>
              <w:left w:type="dxa" w:w="120"/>
              <w:bottom w:type="dxa" w:w="80"/>
              <w:right w:type="dxa" w:w="120"/>
            </w:tcMar>
            <w:vAlign w:val="center"/>
          </w:tcPr>
          <w:p>
            <w:pPr>
              <w:jc w:val="left"/>
            </w:pPr>
            <w:r>
              <w:rPr>
                <w:rFonts w:ascii="Calibri" w:cs="Calibri" w:eastAsia="Calibri" w:hAnsi="Calibri"/>
                <w:b/>
                <w:bCs/>
                <w:color w:val="222222"/>
                <w:sz w:val="20"/>
                <w:szCs w:val="20"/>
              </w:rPr>
              <w:t xml:space="preserve">Date</w:t>
            </w:r>
          </w:p>
        </w:tc>
        <w:tc>
          <w:tcPr>
            <w:tcW w:type="dxa" w:w="3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1 September 2026</w:t>
            </w:r>
          </w:p>
        </w:tc>
      </w:tr>
    </w:tbl>
    <w:p>
      <w:r>
        <w:br w:type="page"/>
      </w:r>
    </w:p>
    <w:p>
      <w:pPr>
        <w:sectPr>
          <w:pgSz w:w="12240" w:h="15840" w:orient="portrait"/>
          <w:pgMar w:top="1080" w:right="1080" w:bottom="1080" w:left="1080" w:header="708" w:footer="708" w:gutter="0"/>
          <w:pgNumType/>
          <w:docGrid w:linePitch="360"/>
        </w:sectPr>
      </w:pPr>
    </w:p>
    <w:p>
      <w:pPr>
        <w:pStyle w:val="Heading1"/>
        <w:pBdr>
          <w:bottom w:val="single" w:color="0F6E6A" w:sz="8" w:space="4"/>
        </w:pBdr>
        <w:spacing w:after="200" w:before="400"/>
      </w:pPr>
      <w:r>
        <w:rPr>
          <w:rFonts w:ascii="Calibri" w:cs="Calibri" w:eastAsia="Calibri" w:hAnsi="Calibri"/>
          <w:b/>
          <w:bCs/>
          <w:color w:val="1F3B57"/>
          <w:sz w:val="28"/>
          <w:szCs w:val="28"/>
        </w:rPr>
        <w:t xml:space="preserve">Confidentiality Notice</w:t>
      </w:r>
    </w:p>
    <w:p>
      <w:pPr>
        <w:spacing w:after="160" w:line="276"/>
      </w:pPr>
      <w:r>
        <w:rPr>
          <w:rFonts w:ascii="Calibri" w:cs="Calibri" w:eastAsia="Calibri" w:hAnsi="Calibri"/>
          <w:color w:val="222222"/>
          <w:sz w:val="21"/>
          <w:szCs w:val="21"/>
        </w:rPr>
        <w:t xml:space="preserve">This document describes an original concept, functional design and set of algorithms conceived by Dr Kais Aldabbagh. It is disclosed in confidence for the sole purpose of evaluating, discussing or developing the HAD Digital project.</w:t>
      </w:r>
    </w:p>
    <w:p>
      <w:pPr>
        <w:spacing w:after="160" w:line="276"/>
      </w:pPr>
      <w:r>
        <w:rPr>
          <w:rFonts w:ascii="Calibri" w:cs="Calibri" w:eastAsia="Calibri" w:hAnsi="Calibri"/>
          <w:color w:val="222222"/>
          <w:sz w:val="21"/>
          <w:szCs w:val="21"/>
        </w:rPr>
        <w:t xml:space="preserve">The recipient agrees not to reproduce, distribute, disclose to any third party, or use this document or its content for any purpose other than the evaluation or authorized development of the HAD Digital project, without the prior written consent of the author. Any development, code, design or derivative work produced from this specification remains subject to a separate written agreement on intellectual property ownership and assignment of rights.</w:t>
      </w:r>
    </w:p>
    <w:p>
      <w:pPr>
        <w:spacing w:after="160" w:line="276"/>
      </w:pPr>
      <w:r>
        <w:rPr>
          <w:rFonts w:ascii="Calibri" w:cs="Calibri" w:eastAsia="Calibri" w:hAnsi="Calibri"/>
          <w:color w:val="222222"/>
          <w:sz w:val="21"/>
          <w:szCs w:val="21"/>
        </w:rPr>
        <w:t xml:space="preserve">This document is intended, among other purposes, to serve as dated evidence of the conception of the project (e.g. filed as an INPI “enveloppe Soleau” or equivalent anteriority record).</w:t>
      </w:r>
    </w:p>
    <w:p>
      <w:pPr>
        <w:spacing w:after="200"/>
      </w:pPr>
    </w:p>
    <w:p>
      <w:pPr>
        <w:pStyle w:val="Heading1"/>
        <w:pBdr>
          <w:bottom w:val="single" w:color="0F6E6A" w:sz="8" w:space="4"/>
        </w:pBdr>
        <w:spacing w:after="200" w:before="400"/>
      </w:pPr>
      <w:r>
        <w:rPr>
          <w:rFonts w:ascii="Calibri" w:cs="Calibri" w:eastAsia="Calibri" w:hAnsi="Calibri"/>
          <w:b/>
          <w:bCs/>
          <w:color w:val="1F3B57"/>
          <w:sz w:val="28"/>
          <w:szCs w:val="28"/>
        </w:rPr>
        <w:t xml:space="preserve">Table of Contents</w:t>
      </w:r>
    </w:p>
    <w:p>
      <w:pPr>
        <w:tabs>
          <w:tab w:val="right" w:pos="9026" w:leader="dot"/>
        </w:tabs>
        <w:spacing w:after="90"/>
      </w:pPr>
      <w:r>
        <w:rPr>
          <w:rFonts w:ascii="Calibri" w:cs="Calibri" w:eastAsia="Calibri" w:hAnsi="Calibri"/>
          <w:color w:val="222222"/>
          <w:sz w:val="22"/>
          <w:szCs w:val="22"/>
        </w:rPr>
        <w:t xml:space="preserve">1. Executive Summary</w:t>
      </w:r>
    </w:p>
    <w:p>
      <w:pPr>
        <w:tabs>
          <w:tab w:val="right" w:pos="9026" w:leader="dot"/>
        </w:tabs>
        <w:spacing w:after="90"/>
      </w:pPr>
      <w:r>
        <w:rPr>
          <w:rFonts w:ascii="Calibri" w:cs="Calibri" w:eastAsia="Calibri" w:hAnsi="Calibri"/>
          <w:color w:val="222222"/>
          <w:sz w:val="22"/>
          <w:szCs w:val="22"/>
        </w:rPr>
        <w:t xml:space="preserve">2. Context and Problem Statement</w:t>
      </w:r>
    </w:p>
    <w:p>
      <w:pPr>
        <w:tabs>
          <w:tab w:val="right" w:pos="9026" w:leader="dot"/>
        </w:tabs>
        <w:spacing w:after="90"/>
      </w:pPr>
      <w:r>
        <w:rPr>
          <w:rFonts w:ascii="Calibri" w:cs="Calibri" w:eastAsia="Calibri" w:hAnsi="Calibri"/>
          <w:color w:val="222222"/>
          <w:sz w:val="22"/>
          <w:szCs w:val="22"/>
        </w:rPr>
        <w:t xml:space="preserve">3. Vision and Objectives</w:t>
      </w:r>
    </w:p>
    <w:p>
      <w:pPr>
        <w:tabs>
          <w:tab w:val="right" w:pos="9026" w:leader="dot"/>
        </w:tabs>
        <w:spacing w:after="90"/>
      </w:pPr>
      <w:r>
        <w:rPr>
          <w:rFonts w:ascii="Calibri" w:cs="Calibri" w:eastAsia="Calibri" w:hAnsi="Calibri"/>
          <w:color w:val="222222"/>
          <w:sz w:val="22"/>
          <w:szCs w:val="22"/>
        </w:rPr>
        <w:t xml:space="preserve">4. Scope</w:t>
      </w:r>
    </w:p>
    <w:p>
      <w:pPr>
        <w:tabs>
          <w:tab w:val="right" w:pos="9026" w:leader="dot"/>
        </w:tabs>
        <w:spacing w:after="90"/>
      </w:pPr>
      <w:r>
        <w:rPr>
          <w:rFonts w:ascii="Calibri" w:cs="Calibri" w:eastAsia="Calibri" w:hAnsi="Calibri"/>
          <w:color w:val="222222"/>
          <w:sz w:val="22"/>
          <w:szCs w:val="22"/>
        </w:rPr>
        <w:t xml:space="preserve">5. Stakeholders and Target Users</w:t>
      </w:r>
    </w:p>
    <w:p>
      <w:pPr>
        <w:tabs>
          <w:tab w:val="right" w:pos="9026" w:leader="dot"/>
        </w:tabs>
        <w:spacing w:after="90"/>
      </w:pPr>
      <w:r>
        <w:rPr>
          <w:rFonts w:ascii="Calibri" w:cs="Calibri" w:eastAsia="Calibri" w:hAnsi="Calibri"/>
          <w:color w:val="222222"/>
          <w:sz w:val="22"/>
          <w:szCs w:val="22"/>
        </w:rPr>
        <w:t xml:space="preserve">6. Functional Requirements</w:t>
      </w:r>
    </w:p>
    <w:p>
      <w:pPr>
        <w:tabs>
          <w:tab w:val="right" w:pos="9026" w:leader="dot"/>
        </w:tabs>
        <w:spacing w:after="90"/>
      </w:pPr>
      <w:r>
        <w:rPr>
          <w:rFonts w:ascii="Calibri" w:cs="Calibri" w:eastAsia="Calibri" w:hAnsi="Calibri"/>
          <w:color w:val="222222"/>
          <w:sz w:val="22"/>
          <w:szCs w:val="22"/>
        </w:rPr>
        <w:t xml:space="preserve">7. The Toxicity Reader Module</w:t>
      </w:r>
    </w:p>
    <w:p>
      <w:pPr>
        <w:tabs>
          <w:tab w:val="right" w:pos="9026" w:leader="dot"/>
        </w:tabs>
        <w:spacing w:after="90"/>
      </w:pPr>
      <w:r>
        <w:rPr>
          <w:rFonts w:ascii="Calibri" w:cs="Calibri" w:eastAsia="Calibri" w:hAnsi="Calibri"/>
          <w:color w:val="222222"/>
          <w:sz w:val="22"/>
          <w:szCs w:val="22"/>
        </w:rPr>
        <w:t xml:space="preserve">8. Non-Functional Requirements</w:t>
      </w:r>
    </w:p>
    <w:p>
      <w:pPr>
        <w:tabs>
          <w:tab w:val="right" w:pos="9026" w:leader="dot"/>
        </w:tabs>
        <w:spacing w:after="90"/>
      </w:pPr>
      <w:r>
        <w:rPr>
          <w:rFonts w:ascii="Calibri" w:cs="Calibri" w:eastAsia="Calibri" w:hAnsi="Calibri"/>
          <w:color w:val="222222"/>
          <w:sz w:val="22"/>
          <w:szCs w:val="22"/>
        </w:rPr>
        <w:t xml:space="preserve">9. Data Model Overview</w:t>
      </w:r>
    </w:p>
    <w:p>
      <w:pPr>
        <w:tabs>
          <w:tab w:val="right" w:pos="9026" w:leader="dot"/>
        </w:tabs>
        <w:spacing w:after="90"/>
      </w:pPr>
      <w:r>
        <w:rPr>
          <w:rFonts w:ascii="Calibri" w:cs="Calibri" w:eastAsia="Calibri" w:hAnsi="Calibri"/>
          <w:color w:val="222222"/>
          <w:sz w:val="22"/>
          <w:szCs w:val="22"/>
        </w:rPr>
        <w:t xml:space="preserve">10. Technical Architecture Overview</w:t>
      </w:r>
    </w:p>
    <w:p>
      <w:pPr>
        <w:tabs>
          <w:tab w:val="right" w:pos="9026" w:leader="dot"/>
        </w:tabs>
        <w:spacing w:after="90"/>
      </w:pPr>
      <w:r>
        <w:rPr>
          <w:rFonts w:ascii="Calibri" w:cs="Calibri" w:eastAsia="Calibri" w:hAnsi="Calibri"/>
          <w:color w:val="222222"/>
          <w:sz w:val="22"/>
          <w:szCs w:val="22"/>
        </w:rPr>
        <w:t xml:space="preserve">11. Regulatory and Compliance Considerations</w:t>
      </w:r>
    </w:p>
    <w:p>
      <w:pPr>
        <w:tabs>
          <w:tab w:val="right" w:pos="9026" w:leader="dot"/>
        </w:tabs>
        <w:spacing w:after="90"/>
      </w:pPr>
      <w:r>
        <w:rPr>
          <w:rFonts w:ascii="Calibri" w:cs="Calibri" w:eastAsia="Calibri" w:hAnsi="Calibri"/>
          <w:color w:val="222222"/>
          <w:sz w:val="22"/>
          <w:szCs w:val="22"/>
        </w:rPr>
        <w:t xml:space="preserve">12. Interoperability Requirements</w:t>
      </w:r>
    </w:p>
    <w:p>
      <w:pPr>
        <w:tabs>
          <w:tab w:val="right" w:pos="9026" w:leader="dot"/>
        </w:tabs>
        <w:spacing w:after="90"/>
      </w:pPr>
      <w:r>
        <w:rPr>
          <w:rFonts w:ascii="Calibri" w:cs="Calibri" w:eastAsia="Calibri" w:hAnsi="Calibri"/>
          <w:color w:val="222222"/>
          <w:sz w:val="22"/>
          <w:szCs w:val="22"/>
        </w:rPr>
        <w:t xml:space="preserve">13. Success Metrics (KPIs)</w:t>
      </w:r>
    </w:p>
    <w:p>
      <w:pPr>
        <w:tabs>
          <w:tab w:val="right" w:pos="9026" w:leader="dot"/>
        </w:tabs>
        <w:spacing w:after="90"/>
      </w:pPr>
      <w:r>
        <w:rPr>
          <w:rFonts w:ascii="Calibri" w:cs="Calibri" w:eastAsia="Calibri" w:hAnsi="Calibri"/>
          <w:color w:val="222222"/>
          <w:sz w:val="22"/>
          <w:szCs w:val="22"/>
        </w:rPr>
        <w:t xml:space="preserve">14. Roadmap and Phasing</w:t>
      </w:r>
    </w:p>
    <w:p>
      <w:pPr>
        <w:tabs>
          <w:tab w:val="right" w:pos="9026" w:leader="dot"/>
        </w:tabs>
        <w:spacing w:after="90"/>
      </w:pPr>
      <w:r>
        <w:rPr>
          <w:rFonts w:ascii="Calibri" w:cs="Calibri" w:eastAsia="Calibri" w:hAnsi="Calibri"/>
          <w:color w:val="222222"/>
          <w:sz w:val="22"/>
          <w:szCs w:val="22"/>
        </w:rPr>
        <w:t xml:space="preserve">15. Risks and Assumptions</w:t>
      </w:r>
    </w:p>
    <w:p>
      <w:pPr>
        <w:tabs>
          <w:tab w:val="right" w:pos="9026" w:leader="dot"/>
        </w:tabs>
        <w:spacing w:after="90"/>
      </w:pPr>
      <w:r>
        <w:rPr>
          <w:rFonts w:ascii="Calibri" w:cs="Calibri" w:eastAsia="Calibri" w:hAnsi="Calibri"/>
          <w:color w:val="222222"/>
          <w:sz w:val="22"/>
          <w:szCs w:val="22"/>
        </w:rPr>
        <w:t xml:space="preserve">16. Glossary</w:t>
      </w:r>
    </w:p>
    <w:p>
      <w:pPr>
        <w:tabs>
          <w:tab w:val="right" w:pos="9026" w:leader="dot"/>
        </w:tabs>
        <w:spacing w:after="90"/>
      </w:pPr>
      <w:r>
        <w:rPr>
          <w:rFonts w:ascii="Calibri" w:cs="Calibri" w:eastAsia="Calibri" w:hAnsi="Calibri"/>
          <w:color w:val="222222"/>
          <w:sz w:val="22"/>
          <w:szCs w:val="22"/>
        </w:rPr>
        <w:t xml:space="preserve">17. Intellectual Property Statement</w:t>
      </w:r>
    </w:p>
    <w:p>
      <w:r>
        <w:br w:type="page"/>
      </w:r>
    </w:p>
    <w:p>
      <w:pPr>
        <w:pStyle w:val="Heading1"/>
        <w:pBdr>
          <w:bottom w:val="single" w:color="0F6E6A" w:sz="8" w:space="4"/>
        </w:pBdr>
        <w:spacing w:after="200" w:before="400"/>
      </w:pPr>
      <w:r>
        <w:rPr>
          <w:rFonts w:ascii="Calibri" w:cs="Calibri" w:eastAsia="Calibri" w:hAnsi="Calibri"/>
          <w:b/>
          <w:bCs/>
          <w:color w:val="1F3B57"/>
          <w:sz w:val="28"/>
          <w:szCs w:val="28"/>
        </w:rPr>
        <w:t xml:space="preserve">1. Executive Summary</w:t>
      </w:r>
    </w:p>
    <w:p>
      <w:pPr>
        <w:spacing w:after="160" w:line="276"/>
      </w:pPr>
      <w:r>
        <w:rPr>
          <w:rFonts w:ascii="Calibri" w:cs="Calibri" w:eastAsia="Calibri" w:hAnsi="Calibri"/>
          <w:color w:val="222222"/>
          <w:sz w:val="21"/>
          <w:szCs w:val="21"/>
        </w:rPr>
        <w:t xml:space="preserve">HAD Digital is a coordinated care platform designed to support Hospitalisation à Domicile (HAD) — the French regulated model of hospital-level care delivered at the patient's home — for oncology patients undergoing active anticancer treatment. It brings together the hospital team, the HAD structure, community nurses, general practitioners, pharmacists and the patient/caregiver into a single, secure, real-time care-coordination environment.</w:t>
      </w:r>
    </w:p>
    <w:p>
      <w:pPr>
        <w:spacing w:after="160" w:line="276"/>
      </w:pPr>
      <w:r>
        <w:rPr>
          <w:rFonts w:ascii="Calibri" w:cs="Calibri" w:eastAsia="Calibri" w:hAnsi="Calibri"/>
          <w:color w:val="222222"/>
          <w:sz w:val="21"/>
          <w:szCs w:val="21"/>
        </w:rPr>
        <w:t xml:space="preserve">The platform's centerpiece is the Toxicity Reader, a structured, CTCAE-based (Common Terminology Criteria for Adverse Events) module that captures patient-reported and clinician-reported symptoms during at-home treatment, automatically grades treatment-related toxicities, and triggers tiered clinical alerts so that adverse events are identified and acted upon before they require emergency hospitalization.</w:t>
      </w:r>
    </w:p>
    <w:p>
      <w:pPr>
        <w:spacing w:after="160" w:line="276"/>
      </w:pPr>
      <w:r>
        <w:rPr>
          <w:rFonts w:ascii="Calibri" w:cs="Calibri" w:eastAsia="Calibri" w:hAnsi="Calibri"/>
          <w:color w:val="222222"/>
          <w:sz w:val="21"/>
          <w:szCs w:val="21"/>
        </w:rPr>
        <w:t xml:space="preserve">The objective is threefold: improve patient safety and early detection of severe toxicity at home, reduce avoidable emergency admissions and unplanned re-hospitalizations, and reduce the administrative and coordination burden on the oncology team and the HAD structure.</w:t>
      </w:r>
    </w:p>
    <w:p>
      <w:pPr>
        <w:pStyle w:val="Heading1"/>
        <w:pBdr>
          <w:bottom w:val="single" w:color="0F6E6A" w:sz="8" w:space="4"/>
        </w:pBdr>
        <w:spacing w:after="200" w:before="400"/>
      </w:pPr>
      <w:r>
        <w:rPr>
          <w:rFonts w:ascii="Calibri" w:cs="Calibri" w:eastAsia="Calibri" w:hAnsi="Calibri"/>
          <w:b/>
          <w:bCs/>
          <w:color w:val="1F3B57"/>
          <w:sz w:val="28"/>
          <w:szCs w:val="28"/>
        </w:rPr>
        <w:t xml:space="preserve">2. Context and Problem Statement</w:t>
      </w:r>
    </w:p>
    <w:p>
      <w:pPr>
        <w:spacing w:after="160" w:line="276"/>
      </w:pPr>
      <w:r>
        <w:rPr>
          <w:rFonts w:ascii="Calibri" w:cs="Calibri" w:eastAsia="Calibri" w:hAnsi="Calibri"/>
          <w:color w:val="222222"/>
          <w:sz w:val="21"/>
          <w:szCs w:val="21"/>
        </w:rPr>
        <w:t xml:space="preserve">Hospitalisation à Domicile (HAD) allows patients to receive complex hospital-level treatments — including certain chemotherapy protocols, supportive care and symptom management — at home, under the joint responsibility of the referring hospital team, the HAD structure and community health professionals. This model is expanding in France as part of the broader shift of cancer care toward ambulatory and home-based pathways, supported by national digital health initiatives (Ségur du Numérique, Mon Espace Santé).</w:t>
      </w:r>
    </w:p>
    <w:p>
      <w:pPr>
        <w:spacing w:after="160" w:line="276"/>
      </w:pPr>
      <w:r>
        <w:rPr>
          <w:rFonts w:ascii="Calibri" w:cs="Calibri" w:eastAsia="Calibri" w:hAnsi="Calibri"/>
          <w:color w:val="222222"/>
          <w:sz w:val="21"/>
          <w:szCs w:val="21"/>
        </w:rPr>
        <w:t xml:space="preserve">In current practice, toxicity monitoring for patients treated at home relies heavily on unstructured channels: phone calls, fragmented paper or PDF forms, and inconsistent follow-up between the hospital oncology team and the home-care professionals. This creates three recurring problems.</w:t>
      </w:r>
    </w:p>
    <w:p>
      <w:pPr>
        <w:pStyle w:val="ListParagraph"/>
        <w:numPr>
          <w:ilvl w:val="0"/>
          <w:numId w:val="2"/>
        </w:numPr>
        <w:spacing w:after="90" w:line="270"/>
      </w:pPr>
      <w:r>
        <w:rPr>
          <w:rFonts w:ascii="Calibri" w:cs="Calibri" w:eastAsia="Calibri" w:hAnsi="Calibri"/>
          <w:color w:val="222222"/>
          <w:sz w:val="21"/>
          <w:szCs w:val="21"/>
        </w:rPr>
        <w:t xml:space="preserve">Delayed detection: early or moderate toxicity (e.g. grade 1–2 CTCAE) is often under-reported until it escalates, leading to avoidable emergency-department visits or unplanned re-hospitalization.</w:t>
      </w:r>
    </w:p>
    <w:p>
      <w:pPr>
        <w:pStyle w:val="ListParagraph"/>
        <w:numPr>
          <w:ilvl w:val="0"/>
          <w:numId w:val="2"/>
        </w:numPr>
        <w:spacing w:after="90" w:line="270"/>
      </w:pPr>
      <w:r>
        <w:rPr>
          <w:rFonts w:ascii="Calibri" w:cs="Calibri" w:eastAsia="Calibri" w:hAnsi="Calibri"/>
          <w:color w:val="222222"/>
          <w:sz w:val="21"/>
          <w:szCs w:val="21"/>
        </w:rPr>
        <w:t xml:space="preserve">Fragmented information: the hospital oncologist, the HAD coordinating nurse, the community nurse and the general practitioner frequently do not see the same information at the same time.</w:t>
      </w:r>
    </w:p>
    <w:p>
      <w:pPr>
        <w:pStyle w:val="ListParagraph"/>
        <w:numPr>
          <w:ilvl w:val="0"/>
          <w:numId w:val="2"/>
        </w:numPr>
        <w:spacing w:after="90" w:line="270"/>
      </w:pPr>
      <w:r>
        <w:rPr>
          <w:rFonts w:ascii="Calibri" w:cs="Calibri" w:eastAsia="Calibri" w:hAnsi="Calibri"/>
          <w:color w:val="222222"/>
          <w:sz w:val="21"/>
          <w:szCs w:val="21"/>
        </w:rPr>
        <w:t xml:space="preserve">Administrative burden: manual transcription of symptom reports and toxicity grades into the medical record and into follow-up letters consumes significant clinician time.</w:t>
      </w:r>
    </w:p>
    <w:p>
      <w:pPr>
        <w:spacing w:after="160" w:line="276"/>
      </w:pPr>
      <w:r>
        <w:rPr>
          <w:rFonts w:ascii="Calibri" w:cs="Calibri" w:eastAsia="Calibri" w:hAnsi="Calibri"/>
          <w:color w:val="222222"/>
          <w:sz w:val="21"/>
          <w:szCs w:val="21"/>
        </w:rPr>
        <w:t xml:space="preserve">HAD Digital is designed to address these three gaps through a single structured data model, a shared care-coordination workspace, and an automated toxicity-grading and alerting engine.</w:t>
      </w:r>
    </w:p>
    <w:p>
      <w:pPr>
        <w:pStyle w:val="Heading1"/>
        <w:pBdr>
          <w:bottom w:val="single" w:color="0F6E6A" w:sz="8" w:space="4"/>
        </w:pBdr>
        <w:spacing w:after="200" w:before="400"/>
      </w:pPr>
      <w:r>
        <w:rPr>
          <w:rFonts w:ascii="Calibri" w:cs="Calibri" w:eastAsia="Calibri" w:hAnsi="Calibri"/>
          <w:b/>
          <w:bCs/>
          <w:color w:val="1F3B57"/>
          <w:sz w:val="28"/>
          <w:szCs w:val="28"/>
        </w:rPr>
        <w:t xml:space="preserve">3. Vision and Objectives</w:t>
      </w:r>
    </w:p>
    <w:p>
      <w:pPr>
        <w:spacing w:after="160" w:line="276"/>
      </w:pPr>
      <w:r>
        <w:rPr>
          <w:rFonts w:ascii="Calibri" w:cs="Calibri" w:eastAsia="Calibri" w:hAnsi="Calibri"/>
          <w:color w:val="222222"/>
          <w:sz w:val="21"/>
          <w:szCs w:val="21"/>
        </w:rPr>
        <w:t xml:space="preserve">Vision: to make home hospitalization in oncology as clinically safe and as well-coordinated as inpatient care, by giving every member of the care team continuous, structured visibility into the patient's condition, and by making early toxicity signals impossible to miss.</w:t>
      </w:r>
    </w:p>
    <w:p>
      <w:pPr>
        <w:pStyle w:val="Heading2"/>
        <w:spacing w:after="120" w:before="280"/>
      </w:pPr>
      <w:r>
        <w:rPr>
          <w:rFonts w:ascii="Calibri" w:cs="Calibri" w:eastAsia="Calibri" w:hAnsi="Calibri"/>
          <w:b/>
          <w:bCs/>
          <w:color w:val="0F6E6A"/>
          <w:sz w:val="24"/>
          <w:szCs w:val="24"/>
        </w:rPr>
        <w:t xml:space="preserve">3.1 Primary objectives</w:t>
      </w:r>
    </w:p>
    <w:p>
      <w:pPr>
        <w:pStyle w:val="ListParagraph"/>
        <w:numPr>
          <w:ilvl w:val="0"/>
          <w:numId w:val="2"/>
        </w:numPr>
        <w:spacing w:after="90" w:line="270"/>
      </w:pPr>
      <w:r>
        <w:rPr>
          <w:rFonts w:ascii="Calibri" w:cs="Calibri" w:eastAsia="Calibri" w:hAnsi="Calibri"/>
          <w:color w:val="222222"/>
          <w:sz w:val="21"/>
          <w:szCs w:val="21"/>
        </w:rPr>
        <w:t xml:space="preserve">Enable structured, standardized (CTCAE-based) capture of treatment-related toxicities, from both patients/caregivers and home-care professionals.</w:t>
      </w:r>
    </w:p>
    <w:p>
      <w:pPr>
        <w:pStyle w:val="ListParagraph"/>
        <w:numPr>
          <w:ilvl w:val="0"/>
          <w:numId w:val="2"/>
        </w:numPr>
        <w:spacing w:after="90" w:line="270"/>
      </w:pPr>
      <w:r>
        <w:rPr>
          <w:rFonts w:ascii="Calibri" w:cs="Calibri" w:eastAsia="Calibri" w:hAnsi="Calibri"/>
          <w:color w:val="222222"/>
          <w:sz w:val="21"/>
          <w:szCs w:val="21"/>
        </w:rPr>
        <w:t xml:space="preserve">Automatically grade reported symptoms and trigger tiered alerts to the appropriate clinical actor based on severity and clinical rules.</w:t>
      </w:r>
    </w:p>
    <w:p>
      <w:pPr>
        <w:pStyle w:val="ListParagraph"/>
        <w:numPr>
          <w:ilvl w:val="0"/>
          <w:numId w:val="2"/>
        </w:numPr>
        <w:spacing w:after="90" w:line="270"/>
      </w:pPr>
      <w:r>
        <w:rPr>
          <w:rFonts w:ascii="Calibri" w:cs="Calibri" w:eastAsia="Calibri" w:hAnsi="Calibri"/>
          <w:color w:val="222222"/>
          <w:sz w:val="21"/>
          <w:szCs w:val="21"/>
        </w:rPr>
        <w:t xml:space="preserve">Provide a shared, real-time care-coordination workspace for the hospital oncology team, the HAD structure and community professionals.</w:t>
      </w:r>
    </w:p>
    <w:p>
      <w:pPr>
        <w:pStyle w:val="ListParagraph"/>
        <w:numPr>
          <w:ilvl w:val="0"/>
          <w:numId w:val="2"/>
        </w:numPr>
        <w:spacing w:after="90" w:line="270"/>
      </w:pPr>
      <w:r>
        <w:rPr>
          <w:rFonts w:ascii="Calibri" w:cs="Calibri" w:eastAsia="Calibri" w:hAnsi="Calibri"/>
          <w:color w:val="222222"/>
          <w:sz w:val="21"/>
          <w:szCs w:val="21"/>
        </w:rPr>
        <w:t xml:space="preserve">Reduce avoidable emergency visits and unplanned re-hospitalizations through earlier intervention.</w:t>
      </w:r>
    </w:p>
    <w:p>
      <w:pPr>
        <w:pStyle w:val="ListParagraph"/>
        <w:numPr>
          <w:ilvl w:val="0"/>
          <w:numId w:val="2"/>
        </w:numPr>
        <w:spacing w:after="90" w:line="270"/>
      </w:pPr>
      <w:r>
        <w:rPr>
          <w:rFonts w:ascii="Calibri" w:cs="Calibri" w:eastAsia="Calibri" w:hAnsi="Calibri"/>
          <w:color w:val="222222"/>
          <w:sz w:val="21"/>
          <w:szCs w:val="21"/>
        </w:rPr>
        <w:t xml:space="preserve">Reduce clinician administrative burden by auto-generating structured toxicity summaries and follow-up documentation.</w:t>
      </w:r>
    </w:p>
    <w:p>
      <w:pPr>
        <w:pStyle w:val="Heading2"/>
        <w:spacing w:after="120" w:before="280"/>
      </w:pPr>
      <w:r>
        <w:rPr>
          <w:rFonts w:ascii="Calibri" w:cs="Calibri" w:eastAsia="Calibri" w:hAnsi="Calibri"/>
          <w:b/>
          <w:bCs/>
          <w:color w:val="0F6E6A"/>
          <w:sz w:val="24"/>
          <w:szCs w:val="24"/>
        </w:rPr>
        <w:t xml:space="preserve">3.2 Secondary objectives</w:t>
      </w:r>
    </w:p>
    <w:p>
      <w:pPr>
        <w:pStyle w:val="ListParagraph"/>
        <w:numPr>
          <w:ilvl w:val="0"/>
          <w:numId w:val="2"/>
        </w:numPr>
        <w:spacing w:after="90" w:line="270"/>
      </w:pPr>
      <w:r>
        <w:rPr>
          <w:rFonts w:ascii="Calibri" w:cs="Calibri" w:eastAsia="Calibri" w:hAnsi="Calibri"/>
          <w:color w:val="222222"/>
          <w:sz w:val="21"/>
          <w:szCs w:val="21"/>
        </w:rPr>
        <w:t xml:space="preserve">Support remote monitoring of vital signs and treatment adherence.</w:t>
      </w:r>
    </w:p>
    <w:p>
      <w:pPr>
        <w:pStyle w:val="ListParagraph"/>
        <w:numPr>
          <w:ilvl w:val="0"/>
          <w:numId w:val="2"/>
        </w:numPr>
        <w:spacing w:after="90" w:line="270"/>
      </w:pPr>
      <w:r>
        <w:rPr>
          <w:rFonts w:ascii="Calibri" w:cs="Calibri" w:eastAsia="Calibri" w:hAnsi="Calibri"/>
          <w:color w:val="222222"/>
          <w:sz w:val="21"/>
          <w:szCs w:val="21"/>
        </w:rPr>
        <w:t xml:space="preserve">Provide the patient and caregiver with clear, actionable guidance and a direct communication channel to the care team.</w:t>
      </w:r>
    </w:p>
    <w:p>
      <w:pPr>
        <w:pStyle w:val="ListParagraph"/>
        <w:numPr>
          <w:ilvl w:val="0"/>
          <w:numId w:val="2"/>
        </w:numPr>
        <w:spacing w:after="90" w:line="270"/>
      </w:pPr>
      <w:r>
        <w:rPr>
          <w:rFonts w:ascii="Calibri" w:cs="Calibri" w:eastAsia="Calibri" w:hAnsi="Calibri"/>
          <w:color w:val="222222"/>
          <w:sz w:val="21"/>
          <w:szCs w:val="21"/>
        </w:rPr>
        <w:t xml:space="preserve">Generate structured, auditable data suitable for quality-of-care indicators and, subject to consent and regulatory validation, clinical research.</w:t>
      </w:r>
    </w:p>
    <w:p>
      <w:pPr>
        <w:pStyle w:val="Heading1"/>
        <w:pBdr>
          <w:bottom w:val="single" w:color="0F6E6A" w:sz="8" w:space="4"/>
        </w:pBdr>
        <w:spacing w:after="200" w:before="400"/>
      </w:pPr>
      <w:r>
        <w:rPr>
          <w:rFonts w:ascii="Calibri" w:cs="Calibri" w:eastAsia="Calibri" w:hAnsi="Calibri"/>
          <w:b/>
          <w:bCs/>
          <w:color w:val="1F3B57"/>
          <w:sz w:val="28"/>
          <w:szCs w:val="28"/>
        </w:rPr>
        <w:t xml:space="preserve">4. Scope</w:t>
      </w:r>
    </w:p>
    <w:p>
      <w:pPr>
        <w:pStyle w:val="Heading2"/>
        <w:spacing w:after="120" w:before="280"/>
      </w:pPr>
      <w:r>
        <w:rPr>
          <w:rFonts w:ascii="Calibri" w:cs="Calibri" w:eastAsia="Calibri" w:hAnsi="Calibri"/>
          <w:b/>
          <w:bCs/>
          <w:color w:val="0F6E6A"/>
          <w:sz w:val="24"/>
          <w:szCs w:val="24"/>
        </w:rPr>
        <w:t xml:space="preserve">4.1 In scope (V1 / MVP)</w:t>
      </w:r>
    </w:p>
    <w:p>
      <w:pPr>
        <w:pStyle w:val="ListParagraph"/>
        <w:numPr>
          <w:ilvl w:val="0"/>
          <w:numId w:val="2"/>
        </w:numPr>
        <w:spacing w:after="90" w:line="270"/>
      </w:pPr>
      <w:r>
        <w:rPr>
          <w:rFonts w:ascii="Calibri" w:cs="Calibri" w:eastAsia="Calibri" w:hAnsi="Calibri"/>
          <w:color w:val="222222"/>
          <w:sz w:val="21"/>
          <w:szCs w:val="21"/>
        </w:rPr>
        <w:t xml:space="preserve">Patient toxicity self-reporting (structured questionnaires mapped to CTCAE v5.0 domains relevant to systemic anticancer therapy).</w:t>
      </w:r>
    </w:p>
    <w:p>
      <w:pPr>
        <w:pStyle w:val="ListParagraph"/>
        <w:numPr>
          <w:ilvl w:val="0"/>
          <w:numId w:val="2"/>
        </w:numPr>
        <w:spacing w:after="90" w:line="270"/>
      </w:pPr>
      <w:r>
        <w:rPr>
          <w:rFonts w:ascii="Calibri" w:cs="Calibri" w:eastAsia="Calibri" w:hAnsi="Calibri"/>
          <w:color w:val="222222"/>
          <w:sz w:val="21"/>
          <w:szCs w:val="21"/>
        </w:rPr>
        <w:t xml:space="preserve">Clinician / home-nurse toxicity and clinical-observation entry.</w:t>
      </w:r>
    </w:p>
    <w:p>
      <w:pPr>
        <w:pStyle w:val="ListParagraph"/>
        <w:numPr>
          <w:ilvl w:val="0"/>
          <w:numId w:val="2"/>
        </w:numPr>
        <w:spacing w:after="90" w:line="270"/>
      </w:pPr>
      <w:r>
        <w:rPr>
          <w:rFonts w:ascii="Calibri" w:cs="Calibri" w:eastAsia="Calibri" w:hAnsi="Calibri"/>
          <w:color w:val="222222"/>
          <w:sz w:val="21"/>
          <w:szCs w:val="21"/>
        </w:rPr>
        <w:t xml:space="preserve">Automated CTCAE grading engine and rule-based tiered alerting (routine / urgent / emergency).</w:t>
      </w:r>
    </w:p>
    <w:p>
      <w:pPr>
        <w:pStyle w:val="ListParagraph"/>
        <w:numPr>
          <w:ilvl w:val="0"/>
          <w:numId w:val="2"/>
        </w:numPr>
        <w:spacing w:after="90" w:line="270"/>
      </w:pPr>
      <w:r>
        <w:rPr>
          <w:rFonts w:ascii="Calibri" w:cs="Calibri" w:eastAsia="Calibri" w:hAnsi="Calibri"/>
          <w:color w:val="222222"/>
          <w:sz w:val="21"/>
          <w:szCs w:val="21"/>
        </w:rPr>
        <w:t xml:space="preserve">Shared care-coordination timeline and secure messaging between care-team members.</w:t>
      </w:r>
    </w:p>
    <w:p>
      <w:pPr>
        <w:pStyle w:val="ListParagraph"/>
        <w:numPr>
          <w:ilvl w:val="0"/>
          <w:numId w:val="2"/>
        </w:numPr>
        <w:spacing w:after="90" w:line="270"/>
      </w:pPr>
      <w:r>
        <w:rPr>
          <w:rFonts w:ascii="Calibri" w:cs="Calibri" w:eastAsia="Calibri" w:hAnsi="Calibri"/>
          <w:color w:val="222222"/>
          <w:sz w:val="21"/>
          <w:szCs w:val="21"/>
        </w:rPr>
        <w:t xml:space="preserve">Treatment plan and medication schedule reference view.</w:t>
      </w:r>
    </w:p>
    <w:p>
      <w:pPr>
        <w:pStyle w:val="ListParagraph"/>
        <w:numPr>
          <w:ilvl w:val="0"/>
          <w:numId w:val="2"/>
        </w:numPr>
        <w:spacing w:after="90" w:line="270"/>
      </w:pPr>
      <w:r>
        <w:rPr>
          <w:rFonts w:ascii="Calibri" w:cs="Calibri" w:eastAsia="Calibri" w:hAnsi="Calibri"/>
          <w:color w:val="222222"/>
          <w:sz w:val="21"/>
          <w:szCs w:val="21"/>
        </w:rPr>
        <w:t xml:space="preserve">Structured toxicity summary export for the patient record and follow-up correspondence.</w:t>
      </w:r>
    </w:p>
    <w:p>
      <w:pPr>
        <w:pStyle w:val="ListParagraph"/>
        <w:numPr>
          <w:ilvl w:val="0"/>
          <w:numId w:val="2"/>
        </w:numPr>
        <w:spacing w:after="90" w:line="270"/>
      </w:pPr>
      <w:r>
        <w:rPr>
          <w:rFonts w:ascii="Calibri" w:cs="Calibri" w:eastAsia="Calibri" w:hAnsi="Calibri"/>
          <w:color w:val="222222"/>
          <w:sz w:val="21"/>
          <w:szCs w:val="21"/>
        </w:rPr>
        <w:t xml:space="preserve">Role-based access for hospital oncologist, HAD coordinating nurse, community nurse, general practitioner, pharmacist, patient and caregiver.</w:t>
      </w:r>
    </w:p>
    <w:p>
      <w:pPr>
        <w:pStyle w:val="Heading2"/>
        <w:spacing w:after="120" w:before="280"/>
      </w:pPr>
      <w:r>
        <w:rPr>
          <w:rFonts w:ascii="Calibri" w:cs="Calibri" w:eastAsia="Calibri" w:hAnsi="Calibri"/>
          <w:b/>
          <w:bCs/>
          <w:color w:val="0F6E6A"/>
          <w:sz w:val="24"/>
          <w:szCs w:val="24"/>
        </w:rPr>
        <w:t xml:space="preserve">4.2 Out of scope for V1 (candidate for later phases)</w:t>
      </w:r>
    </w:p>
    <w:p>
      <w:pPr>
        <w:pStyle w:val="ListParagraph"/>
        <w:numPr>
          <w:ilvl w:val="0"/>
          <w:numId w:val="2"/>
        </w:numPr>
        <w:spacing w:after="90" w:line="270"/>
      </w:pPr>
      <w:r>
        <w:rPr>
          <w:rFonts w:ascii="Calibri" w:cs="Calibri" w:eastAsia="Calibri" w:hAnsi="Calibri"/>
          <w:color w:val="222222"/>
          <w:sz w:val="21"/>
          <w:szCs w:val="21"/>
        </w:rPr>
        <w:t xml:space="preserve">Direct integration with connected medical devices (e.g. connected thermometers, pulse oximeters, infusion pumps) — planned for V2.</w:t>
      </w:r>
    </w:p>
    <w:p>
      <w:pPr>
        <w:pStyle w:val="ListParagraph"/>
        <w:numPr>
          <w:ilvl w:val="0"/>
          <w:numId w:val="2"/>
        </w:numPr>
        <w:spacing w:after="90" w:line="270"/>
      </w:pPr>
      <w:r>
        <w:rPr>
          <w:rFonts w:ascii="Calibri" w:cs="Calibri" w:eastAsia="Calibri" w:hAnsi="Calibri"/>
          <w:color w:val="222222"/>
          <w:sz w:val="21"/>
          <w:szCs w:val="21"/>
        </w:rPr>
        <w:t xml:space="preserve">Full bidirectional interoperability with Mon Espace Santé / DMP — planned once V1 clinical validation is complete.</w:t>
      </w:r>
    </w:p>
    <w:p>
      <w:pPr>
        <w:pStyle w:val="ListParagraph"/>
        <w:numPr>
          <w:ilvl w:val="0"/>
          <w:numId w:val="2"/>
        </w:numPr>
        <w:spacing w:after="90" w:line="270"/>
      </w:pPr>
      <w:r>
        <w:rPr>
          <w:rFonts w:ascii="Calibri" w:cs="Calibri" w:eastAsia="Calibri" w:hAnsi="Calibri"/>
          <w:color w:val="222222"/>
          <w:sz w:val="21"/>
          <w:szCs w:val="21"/>
        </w:rPr>
        <w:t xml:space="preserve">Predictive / machine-learning risk-scoring models — explicitly deferred until a sufficient, ethically sourced dataset exists under an approved research protocol.</w:t>
      </w:r>
    </w:p>
    <w:p>
      <w:pPr>
        <w:pStyle w:val="ListParagraph"/>
        <w:numPr>
          <w:ilvl w:val="0"/>
          <w:numId w:val="2"/>
        </w:numPr>
        <w:spacing w:after="90" w:line="270"/>
      </w:pPr>
      <w:r>
        <w:rPr>
          <w:rFonts w:ascii="Calibri" w:cs="Calibri" w:eastAsia="Calibri" w:hAnsi="Calibri"/>
          <w:color w:val="222222"/>
          <w:sz w:val="21"/>
          <w:szCs w:val="21"/>
        </w:rPr>
        <w:t xml:space="preserve">Billing and HAD administrative/financial workflow (PMSI coding, invoicing) — not addressed by this specification.</w:t>
      </w:r>
    </w:p>
    <w:p>
      <w:pPr>
        <w:pStyle w:val="Heading1"/>
        <w:pBdr>
          <w:bottom w:val="single" w:color="0F6E6A" w:sz="8" w:space="4"/>
        </w:pBdr>
        <w:spacing w:after="200" w:before="400"/>
      </w:pPr>
      <w:r>
        <w:rPr>
          <w:rFonts w:ascii="Calibri" w:cs="Calibri" w:eastAsia="Calibri" w:hAnsi="Calibri"/>
          <w:b/>
          <w:bCs/>
          <w:color w:val="1F3B57"/>
          <w:sz w:val="28"/>
          <w:szCs w:val="28"/>
        </w:rPr>
        <w:t xml:space="preserve">5. Stakeholders and Target Users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rPr>
          <w:tblHeader/>
        </w:trPr>
        <w:tc>
          <w:tcPr>
            <w:tcW w:type="dxa" w:w="32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Actor</w:t>
            </w:r>
          </w:p>
        </w:tc>
        <w:tc>
          <w:tcPr>
            <w:tcW w:type="dxa" w:w="64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Role in the platform</w:t>
            </w:r>
          </w:p>
        </w:tc>
      </w:tr>
      <w:tr>
        <w:tc>
          <w:tcPr>
            <w:tcW w:type="dxa" w:w="3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Hospital oncologist / referring physician</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Prescribes treatment; defines toxicity thresholds and escalation protocol; reviews alerts; validates changes to the care plan.</w:t>
            </w:r>
          </w:p>
        </w:tc>
      </w:tr>
      <w:tr>
        <w:tc>
          <w:tcPr>
            <w:tcW w:type="dxa" w:w="3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HAD coordinating nurse</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Central point of daily coordination; triages incoming reports and alerts; organizes home visits and escalations.</w:t>
            </w:r>
          </w:p>
        </w:tc>
      </w:tr>
      <w:tr>
        <w:tc>
          <w:tcPr>
            <w:tcW w:type="dxa" w:w="3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Community / HAD nurse</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Performs home visits; records clinical observations and vital signs; administers treatment/supportive care.</w:t>
            </w:r>
          </w:p>
        </w:tc>
      </w:tr>
      <w:tr>
        <w:tc>
          <w:tcPr>
            <w:tcW w:type="dxa" w:w="3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General practitioner</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Kept informed of the patient's status; may be first responder for certain urgent situations.</w:t>
            </w:r>
          </w:p>
        </w:tc>
      </w:tr>
      <w:tr>
        <w:tc>
          <w:tcPr>
            <w:tcW w:type="dxa" w:w="3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Hospital pharmacist / HAD pharmacist</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Reviews medication plan, interactions and supportive-care prescriptions.</w:t>
            </w:r>
          </w:p>
        </w:tc>
      </w:tr>
      <w:tr>
        <w:tc>
          <w:tcPr>
            <w:tcW w:type="dxa" w:w="3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Reports symptoms and toxicities; accesses care plan and guidance; communicates with the care team.</w:t>
            </w:r>
          </w:p>
        </w:tc>
      </w:tr>
      <w:tr>
        <w:tc>
          <w:tcPr>
            <w:tcW w:type="dxa" w:w="3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Caregiver / family member</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May report on behalf of, or alongside, the patient; receives guidance.</w:t>
            </w:r>
          </w:p>
        </w:tc>
      </w:tr>
      <w:tr>
        <w:tc>
          <w:tcPr>
            <w:tcW w:type="dxa" w:w="3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HAD structure administration</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Oversees care-pathway compliance and quality/safety indicators (non-financial scope only, see §4.2).</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6. Functional Requirements</w:t>
      </w:r>
    </w:p>
    <w:p>
      <w:pPr>
        <w:spacing w:after="160" w:line="276"/>
      </w:pPr>
      <w:r>
        <w:rPr>
          <w:rFonts w:ascii="Calibri" w:cs="Calibri" w:eastAsia="Calibri" w:hAnsi="Calibri"/>
          <w:color w:val="222222"/>
          <w:sz w:val="21"/>
          <w:szCs w:val="21"/>
        </w:rPr>
        <w:t xml:space="preserve">The table below lists the core functional requirements for V1 (MVP). Each requirement will be further decomposed into user stories and acceptance criteria during the development phase; this document defines scope and intent, not implementation.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00"/>
        <w:gridCol w:w="2700"/>
        <w:gridCol w:w="6000"/>
      </w:tblGrid>
      <w:tr>
        <w:trPr>
          <w:tblHeader/>
        </w:trPr>
        <w:tc>
          <w:tcPr>
            <w:tcW w:type="dxa" w:w="9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ID</w:t>
            </w:r>
          </w:p>
        </w:tc>
        <w:tc>
          <w:tcPr>
            <w:tcW w:type="dxa" w:w="27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Requirement</w:t>
            </w:r>
          </w:p>
        </w:tc>
        <w:tc>
          <w:tcPr>
            <w:tcW w:type="dxa" w:w="60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Description</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FR-1</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 / caregiver toxicity self-report</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Structured, mobile-friendly questionnaire covering the CTCAE domains relevant to the patient's regimen (e.g. GI, hematologic, dermatologic, neurologic, constitutional symptoms), completed on a scheduled cadence and available on demand.</w:t>
            </w:r>
          </w:p>
        </w:tc>
      </w:tr>
      <w:tr>
        <w:tc>
          <w:tcPr>
            <w:tcW w:type="dxa" w:w="9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FR-2</w:t>
            </w:r>
          </w:p>
        </w:tc>
        <w:tc>
          <w:tcPr>
            <w:tcW w:type="dxa" w:w="27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Clinician / home-nurse observation entry</w:t>
            </w:r>
          </w:p>
        </w:tc>
        <w:tc>
          <w:tcPr>
            <w:tcW w:type="dxa" w:w="60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Structured clinical entry form for home-visit findings, vital signs, and directly observed toxicity signs, usable offline with later sync.</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FR-3</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Automated toxicity grading engine</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Rule engine that maps structured inputs to a CTCAE v5.0 grade (1–5) per relevant adverse-event term, combining patient-reported and clinician-reported data (see §7).</w:t>
            </w:r>
          </w:p>
        </w:tc>
      </w:tr>
      <w:tr>
        <w:tc>
          <w:tcPr>
            <w:tcW w:type="dxa" w:w="9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FR-4</w:t>
            </w:r>
          </w:p>
        </w:tc>
        <w:tc>
          <w:tcPr>
            <w:tcW w:type="dxa" w:w="27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Tiered clinical alerting</w:t>
            </w:r>
          </w:p>
        </w:tc>
        <w:tc>
          <w:tcPr>
            <w:tcW w:type="dxa" w:w="60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Automatic routing of alerts (routine follow-up / urgent callback / emergency escalation) to the appropriate actor(s) based on grade, adverse-event type and the physician-defined escalation protocol.</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FR-5</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Shared care-coordination timeline</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Chronological, role-visible feed of reports, observations, alerts, decisions and messages for a given patient episode.</w:t>
            </w:r>
          </w:p>
        </w:tc>
      </w:tr>
      <w:tr>
        <w:tc>
          <w:tcPr>
            <w:tcW w:type="dxa" w:w="9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FR-6</w:t>
            </w:r>
          </w:p>
        </w:tc>
        <w:tc>
          <w:tcPr>
            <w:tcW w:type="dxa" w:w="27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Secure care-team messaging</w:t>
            </w:r>
          </w:p>
        </w:tc>
        <w:tc>
          <w:tcPr>
            <w:tcW w:type="dxa" w:w="60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Direct, auditable messaging between care-team members, attachable to a specific alert or timeline event.</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FR-7</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Treatment plan &amp; schedule view</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Read-facing view of the current systemic therapy protocol, supportive-care prescriptions and the home-visit / infusion schedule.</w:t>
            </w:r>
          </w:p>
        </w:tc>
      </w:tr>
      <w:tr>
        <w:tc>
          <w:tcPr>
            <w:tcW w:type="dxa" w:w="9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FR-8</w:t>
            </w:r>
          </w:p>
        </w:tc>
        <w:tc>
          <w:tcPr>
            <w:tcW w:type="dxa" w:w="27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Structured toxicity summary &amp; export</w:t>
            </w:r>
          </w:p>
        </w:tc>
        <w:tc>
          <w:tcPr>
            <w:tcW w:type="dxa" w:w="60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On-demand or scheduled generation of a structured toxicity summary suitable for insertion into the hospital record and follow-up letters.</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FR-9</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Role-based access control</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Each actor sees only the information and functions appropriate to their role and their relationship to the patient episode.</w:t>
            </w:r>
          </w:p>
        </w:tc>
      </w:tr>
      <w:tr>
        <w:tc>
          <w:tcPr>
            <w:tcW w:type="dxa" w:w="9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FR-10</w:t>
            </w:r>
          </w:p>
        </w:tc>
        <w:tc>
          <w:tcPr>
            <w:tcW w:type="dxa" w:w="27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Patient/caregiver guidance content</w:t>
            </w:r>
          </w:p>
        </w:tc>
        <w:tc>
          <w:tcPr>
            <w:tcW w:type="dxa" w:w="60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Context-aware, physician-validated guidance shown to the patient based on reported symptoms (self-care advice vs. “contact the team now”).</w:t>
            </w:r>
          </w:p>
        </w:tc>
      </w:tr>
      <w:tr>
        <w:tc>
          <w:tcPr>
            <w:tcW w:type="dxa" w:w="9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FR-11</w:t>
            </w:r>
          </w:p>
        </w:tc>
        <w:tc>
          <w:tcPr>
            <w:tcW w:type="dxa" w:w="27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Audit trail</w:t>
            </w:r>
          </w:p>
        </w:tc>
        <w:tc>
          <w:tcPr>
            <w:tcW w:type="dxa" w:w="60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Immutable log of who entered, viewed, modified or acted on each data point, with timestamps.</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7. The Toxicity Reader Module</w:t>
      </w:r>
    </w:p>
    <w:p>
      <w:pPr>
        <w:spacing w:after="160" w:line="276"/>
      </w:pPr>
      <w:r>
        <w:rPr>
          <w:rFonts w:ascii="Calibri" w:cs="Calibri" w:eastAsia="Calibri" w:hAnsi="Calibri"/>
          <w:color w:val="222222"/>
          <w:sz w:val="21"/>
          <w:szCs w:val="21"/>
        </w:rPr>
        <w:t xml:space="preserve">The Toxicity Reader is the clinical-safety core of HAD Digital. Its purpose is to convert free-text or ad hoc symptom reporting into a structured, standardized, and clinically actionable toxicity assessment, without waiting for the next scheduled hospital visit.</w:t>
      </w:r>
    </w:p>
    <w:p>
      <w:pPr>
        <w:pStyle w:val="Heading2"/>
        <w:spacing w:after="120" w:before="280"/>
      </w:pPr>
      <w:r>
        <w:rPr>
          <w:rFonts w:ascii="Calibri" w:cs="Calibri" w:eastAsia="Calibri" w:hAnsi="Calibri"/>
          <w:b/>
          <w:bCs/>
          <w:color w:val="0F6E6A"/>
          <w:sz w:val="24"/>
          <w:szCs w:val="24"/>
        </w:rPr>
        <w:t xml:space="preserve">7.1 Clinical basis</w:t>
      </w:r>
    </w:p>
    <w:p>
      <w:pPr>
        <w:spacing w:after="160" w:line="276"/>
      </w:pPr>
      <w:r>
        <w:rPr>
          <w:rFonts w:ascii="Calibri" w:cs="Calibri" w:eastAsia="Calibri" w:hAnsi="Calibri"/>
          <w:color w:val="222222"/>
          <w:sz w:val="21"/>
          <w:szCs w:val="21"/>
        </w:rPr>
        <w:t xml:space="preserve">Grading is based on the National Cancer Institute's Common Terminology Criteria for Adverse Events, version 5.0 (CTCAE v5.0), the internationally recognized reference standard for classifying the severity of adverse events in oncology (grades 1–5, from mild to death related to the adverse event). Only the subset of CTCAE terms clinically relevant to the patient's treatment regimen is activated for that patient, configured by the prescribing oncologist.</w:t>
      </w:r>
    </w:p>
    <w:p>
      <w:pPr>
        <w:pStyle w:val="Heading2"/>
        <w:spacing w:after="120" w:before="280"/>
      </w:pPr>
      <w:r>
        <w:rPr>
          <w:rFonts w:ascii="Calibri" w:cs="Calibri" w:eastAsia="Calibri" w:hAnsi="Calibri"/>
          <w:b/>
          <w:bCs/>
          <w:color w:val="0F6E6A"/>
          <w:sz w:val="24"/>
          <w:szCs w:val="24"/>
        </w:rPr>
        <w:t xml:space="preserve">7.2 Inputs</w:t>
      </w:r>
    </w:p>
    <w:p>
      <w:pPr>
        <w:pStyle w:val="ListParagraph"/>
        <w:numPr>
          <w:ilvl w:val="0"/>
          <w:numId w:val="2"/>
        </w:numPr>
        <w:spacing w:after="90" w:line="270"/>
      </w:pPr>
      <w:r>
        <w:rPr>
          <w:rFonts w:ascii="Calibri" w:cs="Calibri" w:eastAsia="Calibri" w:hAnsi="Calibri"/>
          <w:color w:val="222222"/>
          <w:sz w:val="21"/>
          <w:szCs w:val="21"/>
        </w:rPr>
        <w:t xml:space="preserve">Structured patient/caregiver self-report (symptom presence, severity descriptors, functional impact, frequency).</w:t>
      </w:r>
    </w:p>
    <w:p>
      <w:pPr>
        <w:pStyle w:val="ListParagraph"/>
        <w:numPr>
          <w:ilvl w:val="0"/>
          <w:numId w:val="2"/>
        </w:numPr>
        <w:spacing w:after="90" w:line="270"/>
      </w:pPr>
      <w:r>
        <w:rPr>
          <w:rFonts w:ascii="Calibri" w:cs="Calibri" w:eastAsia="Calibri" w:hAnsi="Calibri"/>
          <w:color w:val="222222"/>
          <w:sz w:val="21"/>
          <w:szCs w:val="21"/>
        </w:rPr>
        <w:t xml:space="preserve">Structured clinician/home-nurse observation (clinical signs, vital signs, wound/skin findings, etc.).</w:t>
      </w:r>
    </w:p>
    <w:p>
      <w:pPr>
        <w:pStyle w:val="ListParagraph"/>
        <w:numPr>
          <w:ilvl w:val="0"/>
          <w:numId w:val="2"/>
        </w:numPr>
        <w:spacing w:after="90" w:line="270"/>
      </w:pPr>
      <w:r>
        <w:rPr>
          <w:rFonts w:ascii="Calibri" w:cs="Calibri" w:eastAsia="Calibri" w:hAnsi="Calibri"/>
          <w:color w:val="222222"/>
          <w:sz w:val="21"/>
          <w:szCs w:val="21"/>
        </w:rPr>
        <w:t xml:space="preserve">Context data: current treatment cycle/day, relevant concomitant medications, and known baseline values.</w:t>
      </w:r>
    </w:p>
    <w:p>
      <w:pPr>
        <w:pStyle w:val="Heading2"/>
        <w:spacing w:after="120" w:before="280"/>
      </w:pPr>
      <w:r>
        <w:rPr>
          <w:rFonts w:ascii="Calibri" w:cs="Calibri" w:eastAsia="Calibri" w:hAnsi="Calibri"/>
          <w:b/>
          <w:bCs/>
          <w:color w:val="0F6E6A"/>
          <w:sz w:val="24"/>
          <w:szCs w:val="24"/>
        </w:rPr>
        <w:t xml:space="preserve">7.3 Processing logic</w:t>
      </w:r>
    </w:p>
    <w:p>
      <w:pPr>
        <w:spacing w:after="160" w:line="276"/>
      </w:pPr>
      <w:r>
        <w:rPr>
          <w:rFonts w:ascii="Calibri" w:cs="Calibri" w:eastAsia="Calibri" w:hAnsi="Calibri"/>
          <w:color w:val="222222"/>
          <w:sz w:val="21"/>
          <w:szCs w:val="21"/>
        </w:rPr>
        <w:t xml:space="preserve">The module applies a physician-configurable, transparent rule set — not an opaque black-box model — to map structured inputs to a CTCAE grade per adverse-event term. Every automated grade is flagged as “provisional” until reviewed or confirmed by a qualified clinician for any grade ≥ 2, preserving clinical responsibility and auditability. The specific mapping rules, scoring weights and thresholds constitute the proprietary core logic of the module and are deliberately not detailed in this document (see §17, Intellectual Property Statement).</w:t>
      </w:r>
    </w:p>
    <w:p>
      <w:pPr>
        <w:pStyle w:val="Heading2"/>
        <w:spacing w:after="120" w:before="280"/>
      </w:pPr>
      <w:r>
        <w:rPr>
          <w:rFonts w:ascii="Calibri" w:cs="Calibri" w:eastAsia="Calibri" w:hAnsi="Calibri"/>
          <w:b/>
          <w:bCs/>
          <w:color w:val="0F6E6A"/>
          <w:sz w:val="24"/>
          <w:szCs w:val="24"/>
        </w:rPr>
        <w:t xml:space="preserve">7.4 Outputs and actions</w:t>
      </w:r>
    </w:p>
    <w:p>
      <w:pPr>
        <w:pStyle w:val="ListParagraph"/>
        <w:numPr>
          <w:ilvl w:val="0"/>
          <w:numId w:val="2"/>
        </w:numPr>
        <w:spacing w:after="90" w:line="270"/>
      </w:pPr>
      <w:r>
        <w:rPr>
          <w:rFonts w:ascii="Calibri" w:cs="Calibri" w:eastAsia="Calibri" w:hAnsi="Calibri"/>
          <w:color w:val="222222"/>
          <w:sz w:val="21"/>
          <w:szCs w:val="21"/>
        </w:rPr>
        <w:t xml:space="preserve">A per-symptom CTCAE grade, and an overall episode risk indicator.</w:t>
      </w:r>
    </w:p>
    <w:p>
      <w:pPr>
        <w:pStyle w:val="ListParagraph"/>
        <w:numPr>
          <w:ilvl w:val="0"/>
          <w:numId w:val="2"/>
        </w:numPr>
        <w:spacing w:after="90" w:line="270"/>
      </w:pPr>
      <w:r>
        <w:rPr>
          <w:rFonts w:ascii="Calibri" w:cs="Calibri" w:eastAsia="Calibri" w:hAnsi="Calibri"/>
          <w:color w:val="222222"/>
          <w:sz w:val="21"/>
          <w:szCs w:val="21"/>
        </w:rPr>
        <w:t xml:space="preserve">A tiered alert: Routine (visible on the timeline, no immediate action), Urgent (notification to the HAD coordinating nurse and/or community nurse within a defined delay), Emergency (immediate notification to the on-call oncology team and guidance toward emergency care if applicable).</w:t>
      </w:r>
    </w:p>
    <w:p>
      <w:pPr>
        <w:pStyle w:val="ListParagraph"/>
        <w:numPr>
          <w:ilvl w:val="0"/>
          <w:numId w:val="2"/>
        </w:numPr>
        <w:spacing w:after="90" w:line="270"/>
      </w:pPr>
      <w:r>
        <w:rPr>
          <w:rFonts w:ascii="Calibri" w:cs="Calibri" w:eastAsia="Calibri" w:hAnsi="Calibri"/>
          <w:color w:val="222222"/>
          <w:sz w:val="21"/>
          <w:szCs w:val="21"/>
        </w:rPr>
        <w:t xml:space="preserve">Patient-facing guidance appropriate to the grade and adverse-event type.</w:t>
      </w:r>
    </w:p>
    <w:p>
      <w:pPr>
        <w:pStyle w:val="ListParagraph"/>
        <w:numPr>
          <w:ilvl w:val="0"/>
          <w:numId w:val="2"/>
        </w:numPr>
        <w:spacing w:after="90" w:line="270"/>
      </w:pPr>
      <w:r>
        <w:rPr>
          <w:rFonts w:ascii="Calibri" w:cs="Calibri" w:eastAsia="Calibri" w:hAnsi="Calibri"/>
          <w:color w:val="222222"/>
          <w:sz w:val="21"/>
          <w:szCs w:val="21"/>
        </w:rPr>
        <w:t xml:space="preserve">A structured entry into the shared timeline and, on demand, into the toxicity summary export (FR-8).</w:t>
      </w:r>
    </w:p>
    <w:p>
      <w:pPr>
        <w:pStyle w:val="Heading2"/>
        <w:spacing w:after="120" w:before="280"/>
      </w:pPr>
      <w:r>
        <w:rPr>
          <w:rFonts w:ascii="Calibri" w:cs="Calibri" w:eastAsia="Calibri" w:hAnsi="Calibri"/>
          <w:b/>
          <w:bCs/>
          <w:color w:val="0F6E6A"/>
          <w:sz w:val="24"/>
          <w:szCs w:val="24"/>
        </w:rPr>
        <w:t xml:space="preserve">7.5 Safety principle</w:t>
      </w:r>
    </w:p>
    <w:p>
      <w:pPr>
        <w:spacing w:after="160" w:line="276"/>
      </w:pPr>
      <w:r>
        <w:rPr>
          <w:rFonts w:ascii="Calibri" w:cs="Calibri" w:eastAsia="Calibri" w:hAnsi="Calibri"/>
          <w:color w:val="222222"/>
          <w:sz w:val="21"/>
          <w:szCs w:val="21"/>
        </w:rPr>
        <w:t xml:space="preserve">The Toxicity Reader is a decision-support and triage aid, not an autonomous diagnostic or treatment tool. Final clinical judgment and responsibility remain with the treating physician and care team at all times. This distinction is material both to the regulatory qualification of the module (§11) and to its intended use.</w:t>
      </w:r>
    </w:p>
    <w:p>
      <w:pPr>
        <w:pStyle w:val="Heading1"/>
        <w:pBdr>
          <w:bottom w:val="single" w:color="0F6E6A" w:sz="8" w:space="4"/>
        </w:pBdr>
        <w:spacing w:after="200" w:before="400"/>
      </w:pPr>
      <w:r>
        <w:rPr>
          <w:rFonts w:ascii="Calibri" w:cs="Calibri" w:eastAsia="Calibri" w:hAnsi="Calibri"/>
          <w:b/>
          <w:bCs/>
          <w:color w:val="1F3B57"/>
          <w:sz w:val="28"/>
          <w:szCs w:val="28"/>
        </w:rPr>
        <w:t xml:space="preserve">8. Non-Functional Requirements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6600"/>
      </w:tblGrid>
      <w:tr>
        <w:trPr>
          <w:tblHeader/>
        </w:trPr>
        <w:tc>
          <w:tcPr>
            <w:tcW w:type="dxa" w:w="24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Dimension</w:t>
            </w:r>
          </w:p>
        </w:tc>
        <w:tc>
          <w:tcPr>
            <w:tcW w:type="dxa" w:w="66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Requirement</w:t>
            </w:r>
          </w:p>
        </w:tc>
      </w:tr>
      <w:tr>
        <w:tc>
          <w:tcPr>
            <w:tcW w:type="dxa" w:w="2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Security</w:t>
            </w:r>
          </w:p>
        </w:tc>
        <w:tc>
          <w:tcPr>
            <w:tcW w:type="dxa" w:w="6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End-to-end encryption in transit and at rest; strong authentication (MFA for clinicians); role-based and episode-based access control; full audit logging.</w:t>
            </w:r>
          </w:p>
        </w:tc>
      </w:tr>
      <w:tr>
        <w:tc>
          <w:tcPr>
            <w:tcW w:type="dxa" w:w="2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Data hosting &amp; privacy</w:t>
            </w:r>
          </w:p>
        </w:tc>
        <w:tc>
          <w:tcPr>
            <w:tcW w:type="dxa" w:w="6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Hosting with a certified Hébergeur de Données de Santé (HDS, current French health-data-hosting certification); processing compliant with the GDPR and applicable CNIL guidance for health data.</w:t>
            </w:r>
          </w:p>
        </w:tc>
      </w:tr>
      <w:tr>
        <w:tc>
          <w:tcPr>
            <w:tcW w:type="dxa" w:w="2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Availability</w:t>
            </w:r>
          </w:p>
        </w:tc>
        <w:tc>
          <w:tcPr>
            <w:tcW w:type="dxa" w:w="6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Target availability appropriate to a care-coordination (non life-critical-device) tool, e.g. ≥99.5% during care hours, with a defined degraded/offline mode for field use.</w:t>
            </w:r>
          </w:p>
        </w:tc>
      </w:tr>
      <w:tr>
        <w:tc>
          <w:tcPr>
            <w:tcW w:type="dxa" w:w="2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Performance</w:t>
            </w:r>
          </w:p>
        </w:tc>
        <w:tc>
          <w:tcPr>
            <w:tcW w:type="dxa" w:w="6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Toxicity report submission and grading feedback returned in near real time (target: a few seconds) under normal load.</w:t>
            </w:r>
          </w:p>
        </w:tc>
      </w:tr>
      <w:tr>
        <w:tc>
          <w:tcPr>
            <w:tcW w:type="dxa" w:w="2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Usability</w:t>
            </w:r>
          </w:p>
        </w:tc>
        <w:tc>
          <w:tcPr>
            <w:tcW w:type="dxa" w:w="6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Patient-facing forms usable by a non-technical, potentially unwell adult population, on mobile; multilingual support planned from V1 for the languages relevant to the patient population.</w:t>
            </w:r>
          </w:p>
        </w:tc>
      </w:tr>
      <w:tr>
        <w:tc>
          <w:tcPr>
            <w:tcW w:type="dxa" w:w="2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Interoperability</w:t>
            </w:r>
          </w:p>
        </w:tc>
        <w:tc>
          <w:tcPr>
            <w:tcW w:type="dxa" w:w="6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Structured data model designed for future alignment with HL7 FHIR resources and the French Identifiant National de Santé (INS); see §12.</w:t>
            </w:r>
          </w:p>
        </w:tc>
      </w:tr>
      <w:tr>
        <w:tc>
          <w:tcPr>
            <w:tcW w:type="dxa" w:w="2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Auditability</w:t>
            </w:r>
          </w:p>
        </w:tc>
        <w:tc>
          <w:tcPr>
            <w:tcW w:type="dxa" w:w="6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Every clinically relevant action (report, grade, alert, acknowledgment, override) is timestamped, attributed and immutable.</w:t>
            </w:r>
          </w:p>
        </w:tc>
      </w:tr>
      <w:tr>
        <w:tc>
          <w:tcPr>
            <w:tcW w:type="dxa" w:w="2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Scalability</w:t>
            </w:r>
          </w:p>
        </w:tc>
        <w:tc>
          <w:tcPr>
            <w:tcW w:type="dxa" w:w="6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Architecture able to scale from a single HAD structure / oncology department pilot to multi-site deployment without redesign.</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9. Data Model Overview</w:t>
      </w:r>
    </w:p>
    <w:p>
      <w:pPr>
        <w:spacing w:after="160" w:line="276"/>
      </w:pPr>
      <w:r>
        <w:rPr>
          <w:rFonts w:ascii="Calibri" w:cs="Calibri" w:eastAsia="Calibri" w:hAnsi="Calibri"/>
          <w:color w:val="222222"/>
          <w:sz w:val="21"/>
          <w:szCs w:val="21"/>
        </w:rPr>
        <w:t xml:space="preserve">The following high-level entities define the core of the data model. This is a conceptual overview for specification purposes; the full logical and physical data model will be defined during the technical design phase.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tblHeader/>
        </w:trPr>
        <w:tc>
          <w:tcPr>
            <w:tcW w:type="dxa" w:w="26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Entity</w:t>
            </w:r>
          </w:p>
        </w:tc>
        <w:tc>
          <w:tcPr>
            <w:tcW w:type="dxa" w:w="64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Key attributes / purpose</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Identity, consent status, care-team assignment, INS reference (if integrated), active episode(s).</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Care episode (HAD stay)</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Linked HAD structure, referring hospital team, start/end dates, treatment protocol reference.</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Treatment plan</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Regimen, cycle schedule, associated supportive-care prescriptions, activated CTCAE term set.</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Toxicity report</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Reporter (patient/caregiver/clinician), timestamp, structured symptom inputs, linked adverse-event term(s).</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Toxicity grade</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CTCAE term, grade, confidence/provisional status, clinician confirmation status and author.</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Alert</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Type (routine/urgent/emergency), triggering report/grade, recipient(s), acknowledgment status and timestamps.</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Care-team message</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Author, recipients, linked timeline event (optional), timestamp.</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Timeline event</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Union of the above events for a given episode, ordered chronologically, role-filtered on display.</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User / role</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Actor identity, professional role, relationship to episode(s), access scope.</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10. Technical Architecture Overview</w:t>
      </w:r>
    </w:p>
    <w:p>
      <w:pPr>
        <w:spacing w:after="160" w:line="276"/>
      </w:pPr>
      <w:r>
        <w:rPr>
          <w:rFonts w:ascii="Calibri" w:cs="Calibri" w:eastAsia="Calibri" w:hAnsi="Calibri"/>
          <w:color w:val="222222"/>
          <w:sz w:val="21"/>
          <w:szCs w:val="21"/>
        </w:rPr>
        <w:t xml:space="preserve">This section describes the intended architecture at a level sufficient to frame the scope of development; it is not a detailed technical design.</w:t>
      </w:r>
    </w:p>
    <w:p>
      <w:pPr>
        <w:pStyle w:val="Heading2"/>
        <w:spacing w:after="120" w:before="280"/>
      </w:pPr>
      <w:r>
        <w:rPr>
          <w:rFonts w:ascii="Calibri" w:cs="Calibri" w:eastAsia="Calibri" w:hAnsi="Calibri"/>
          <w:b/>
          <w:bCs/>
          <w:color w:val="0F6E6A"/>
          <w:sz w:val="24"/>
          <w:szCs w:val="24"/>
        </w:rPr>
        <w:t xml:space="preserve">10.1 Indicative components</w:t>
      </w:r>
    </w:p>
    <w:p>
      <w:pPr>
        <w:pStyle w:val="ListParagraph"/>
        <w:numPr>
          <w:ilvl w:val="0"/>
          <w:numId w:val="2"/>
        </w:numPr>
        <w:spacing w:after="90" w:line="270"/>
      </w:pPr>
      <w:r>
        <w:rPr>
          <w:rFonts w:ascii="Calibri" w:cs="Calibri" w:eastAsia="Calibri" w:hAnsi="Calibri"/>
          <w:color w:val="222222"/>
          <w:sz w:val="21"/>
          <w:szCs w:val="21"/>
        </w:rPr>
        <w:t xml:space="preserve">Patient/caregiver mobile-first web application (progressive web app) for self-reporting and guidance.</w:t>
      </w:r>
    </w:p>
    <w:p>
      <w:pPr>
        <w:pStyle w:val="ListParagraph"/>
        <w:numPr>
          <w:ilvl w:val="0"/>
          <w:numId w:val="2"/>
        </w:numPr>
        <w:spacing w:after="90" w:line="270"/>
      </w:pPr>
      <w:r>
        <w:rPr>
          <w:rFonts w:ascii="Calibri" w:cs="Calibri" w:eastAsia="Calibri" w:hAnsi="Calibri"/>
          <w:color w:val="222222"/>
          <w:sz w:val="21"/>
          <w:szCs w:val="21"/>
        </w:rPr>
        <w:t xml:space="preserve">Clinician web application for the hospital oncology team and HAD coordinating nurse (desktop-oriented, dashboard and timeline views).</w:t>
      </w:r>
    </w:p>
    <w:p>
      <w:pPr>
        <w:pStyle w:val="ListParagraph"/>
        <w:numPr>
          <w:ilvl w:val="0"/>
          <w:numId w:val="2"/>
        </w:numPr>
        <w:spacing w:after="90" w:line="270"/>
      </w:pPr>
      <w:r>
        <w:rPr>
          <w:rFonts w:ascii="Calibri" w:cs="Calibri" w:eastAsia="Calibri" w:hAnsi="Calibri"/>
          <w:color w:val="222222"/>
          <w:sz w:val="21"/>
          <w:szCs w:val="21"/>
        </w:rPr>
        <w:t xml:space="preserve">Field application for home-care professionals, with offline data capture and deferred sync.</w:t>
      </w:r>
    </w:p>
    <w:p>
      <w:pPr>
        <w:pStyle w:val="ListParagraph"/>
        <w:numPr>
          <w:ilvl w:val="0"/>
          <w:numId w:val="2"/>
        </w:numPr>
        <w:spacing w:after="90" w:line="270"/>
      </w:pPr>
      <w:r>
        <w:rPr>
          <w:rFonts w:ascii="Calibri" w:cs="Calibri" w:eastAsia="Calibri" w:hAnsi="Calibri"/>
          <w:color w:val="222222"/>
          <w:sz w:val="21"/>
          <w:szCs w:val="21"/>
        </w:rPr>
        <w:t xml:space="preserve">Core services: identity &amp; access management, toxicity grading engine, alerting/notification service, messaging service, reporting/export service.</w:t>
      </w:r>
    </w:p>
    <w:p>
      <w:pPr>
        <w:pStyle w:val="ListParagraph"/>
        <w:numPr>
          <w:ilvl w:val="0"/>
          <w:numId w:val="2"/>
        </w:numPr>
        <w:spacing w:after="90" w:line="270"/>
      </w:pPr>
      <w:r>
        <w:rPr>
          <w:rFonts w:ascii="Calibri" w:cs="Calibri" w:eastAsia="Calibri" w:hAnsi="Calibri"/>
          <w:color w:val="222222"/>
          <w:sz w:val="21"/>
          <w:szCs w:val="21"/>
        </w:rPr>
        <w:t xml:space="preserve">Data layer hosted with an HDS-certified provider, with encryption at rest and a documented data-retention policy.</w:t>
      </w:r>
    </w:p>
    <w:p>
      <w:pPr>
        <w:pStyle w:val="ListParagraph"/>
        <w:numPr>
          <w:ilvl w:val="0"/>
          <w:numId w:val="2"/>
        </w:numPr>
        <w:spacing w:after="90" w:line="270"/>
      </w:pPr>
      <w:r>
        <w:rPr>
          <w:rFonts w:ascii="Calibri" w:cs="Calibri" w:eastAsia="Calibri" w:hAnsi="Calibri"/>
          <w:color w:val="222222"/>
          <w:sz w:val="21"/>
          <w:szCs w:val="21"/>
        </w:rPr>
        <w:t xml:space="preserve">Integration layer (V2+) for external systems: hospital information system, Mon Espace Santé / DMP, connected devices, as relevant.</w:t>
      </w:r>
    </w:p>
    <w:p>
      <w:pPr>
        <w:pStyle w:val="Heading2"/>
        <w:spacing w:after="120" w:before="280"/>
      </w:pPr>
      <w:r>
        <w:rPr>
          <w:rFonts w:ascii="Calibri" w:cs="Calibri" w:eastAsia="Calibri" w:hAnsi="Calibri"/>
          <w:b/>
          <w:bCs/>
          <w:color w:val="0F6E6A"/>
          <w:sz w:val="24"/>
          <w:szCs w:val="24"/>
        </w:rPr>
        <w:t xml:space="preserve">10.2 Design principles</w:t>
      </w:r>
    </w:p>
    <w:p>
      <w:pPr>
        <w:pStyle w:val="ListParagraph"/>
        <w:numPr>
          <w:ilvl w:val="0"/>
          <w:numId w:val="2"/>
        </w:numPr>
        <w:spacing w:after="90" w:line="270"/>
      </w:pPr>
      <w:r>
        <w:rPr>
          <w:rFonts w:ascii="Calibri" w:cs="Calibri" w:eastAsia="Calibri" w:hAnsi="Calibri"/>
          <w:color w:val="222222"/>
          <w:sz w:val="21"/>
          <w:szCs w:val="21"/>
        </w:rPr>
        <w:t xml:space="preserve">Privacy and security by design: minimum necessary data collection, purpose limitation, role-based visibility.</w:t>
      </w:r>
    </w:p>
    <w:p>
      <w:pPr>
        <w:pStyle w:val="ListParagraph"/>
        <w:numPr>
          <w:ilvl w:val="0"/>
          <w:numId w:val="2"/>
        </w:numPr>
        <w:spacing w:after="90" w:line="270"/>
      </w:pPr>
      <w:r>
        <w:rPr>
          <w:rFonts w:ascii="Calibri" w:cs="Calibri" w:eastAsia="Calibri" w:hAnsi="Calibri"/>
          <w:color w:val="222222"/>
          <w:sz w:val="21"/>
          <w:szCs w:val="21"/>
        </w:rPr>
        <w:t xml:space="preserve">Transparent, clinician-configurable rule logic for grading and alerting rather than an unreviewable black box, to preserve clinical trust and auditability.</w:t>
      </w:r>
    </w:p>
    <w:p>
      <w:pPr>
        <w:pStyle w:val="ListParagraph"/>
        <w:numPr>
          <w:ilvl w:val="0"/>
          <w:numId w:val="2"/>
        </w:numPr>
        <w:spacing w:after="90" w:line="270"/>
      </w:pPr>
      <w:r>
        <w:rPr>
          <w:rFonts w:ascii="Calibri" w:cs="Calibri" w:eastAsia="Calibri" w:hAnsi="Calibri"/>
          <w:color w:val="222222"/>
          <w:sz w:val="21"/>
          <w:szCs w:val="21"/>
        </w:rPr>
        <w:t xml:space="preserve">Modular architecture allowing the Toxicity Reader to be evaluated, and eventually deployed, as a standalone module independent of the full care-coordination platform.</w:t>
      </w:r>
    </w:p>
    <w:p>
      <w:pPr>
        <w:pStyle w:val="Heading1"/>
        <w:pBdr>
          <w:bottom w:val="single" w:color="0F6E6A" w:sz="8" w:space="4"/>
        </w:pBdr>
        <w:spacing w:after="200" w:before="400"/>
      </w:pPr>
      <w:r>
        <w:rPr>
          <w:rFonts w:ascii="Calibri" w:cs="Calibri" w:eastAsia="Calibri" w:hAnsi="Calibri"/>
          <w:b/>
          <w:bCs/>
          <w:color w:val="1F3B57"/>
          <w:sz w:val="28"/>
          <w:szCs w:val="28"/>
        </w:rPr>
        <w:t xml:space="preserve">11. Regulatory and Compliance Considerations</w:t>
      </w:r>
    </w:p>
    <w:p>
      <w:pPr>
        <w:spacing w:after="160" w:line="276"/>
      </w:pPr>
      <w:r>
        <w:rPr>
          <w:rFonts w:ascii="Calibri" w:cs="Calibri" w:eastAsia="Calibri" w:hAnsi="Calibri"/>
          <w:color w:val="222222"/>
          <w:sz w:val="21"/>
          <w:szCs w:val="21"/>
        </w:rPr>
        <w:t xml:space="preserve">HAD Digital processes health data and provides clinical decision support, which places it under several French and European regulatory frameworks that must be addressed before any clinical deployment beyond a controlled pilot.</w:t>
      </w:r>
    </w:p>
    <w:p>
      <w:pPr>
        <w:pStyle w:val="ListParagraph"/>
        <w:numPr>
          <w:ilvl w:val="0"/>
          <w:numId w:val="2"/>
        </w:numPr>
        <w:spacing w:after="90" w:line="270"/>
      </w:pPr>
      <w:r>
        <w:rPr>
          <w:rFonts w:ascii="Calibri" w:cs="Calibri" w:eastAsia="Calibri" w:hAnsi="Calibri"/>
          <w:color w:val="222222"/>
          <w:sz w:val="21"/>
          <w:szCs w:val="21"/>
        </w:rPr>
        <w:t xml:space="preserve">GDPR and CNIL: lawful basis, patient information and consent, data-subject rights, and a Data Protection Impact Assessment (DPIA) given the sensitivity of health data.</w:t>
      </w:r>
    </w:p>
    <w:p>
      <w:pPr>
        <w:pStyle w:val="ListParagraph"/>
        <w:numPr>
          <w:ilvl w:val="0"/>
          <w:numId w:val="2"/>
        </w:numPr>
        <w:spacing w:after="90" w:line="270"/>
      </w:pPr>
      <w:r>
        <w:rPr>
          <w:rFonts w:ascii="Calibri" w:cs="Calibri" w:eastAsia="Calibri" w:hAnsi="Calibri"/>
          <w:color w:val="222222"/>
          <w:sz w:val="21"/>
          <w:szCs w:val="21"/>
        </w:rPr>
        <w:t xml:space="preserve">HDS certification: hosting of health data must use a certified Hébergeur de Données de Santé (current version of the HDS certification framework).</w:t>
      </w:r>
    </w:p>
    <w:p>
      <w:pPr>
        <w:pStyle w:val="ListParagraph"/>
        <w:numPr>
          <w:ilvl w:val="0"/>
          <w:numId w:val="2"/>
        </w:numPr>
        <w:spacing w:after="90" w:line="270"/>
      </w:pPr>
      <w:r>
        <w:rPr>
          <w:rFonts w:ascii="Calibri" w:cs="Calibri" w:eastAsia="Calibri" w:hAnsi="Calibri"/>
          <w:color w:val="222222"/>
          <w:sz w:val="21"/>
          <w:szCs w:val="21"/>
        </w:rPr>
        <w:t xml:space="preserve">Medical Device Regulation (EU MDR) qualification: because the Toxicity Reader provides clinical decision support from patient data, its qualification as Software as a Medical Device (SaMD) must be formally assessed with regulatory counsel before market deployment; this may require CE marking, a quality management system and clinical evaluation, depending on the final intended use and risk class.</w:t>
      </w:r>
    </w:p>
    <w:p>
      <w:pPr>
        <w:pStyle w:val="ListParagraph"/>
        <w:numPr>
          <w:ilvl w:val="0"/>
          <w:numId w:val="2"/>
        </w:numPr>
        <w:spacing w:after="90" w:line="270"/>
      </w:pPr>
      <w:r>
        <w:rPr>
          <w:rFonts w:ascii="Calibri" w:cs="Calibri" w:eastAsia="Calibri" w:hAnsi="Calibri"/>
          <w:color w:val="222222"/>
          <w:sz w:val="21"/>
          <w:szCs w:val="21"/>
        </w:rPr>
        <w:t xml:space="preserve">Professional and liability framework: the respective clinical responsibilities of the hospital team, the HAD structure and community professionals when using automated triage support must be clearly defined in the escalation protocol and in each professional's terms of use.</w:t>
      </w:r>
    </w:p>
    <w:p>
      <w:pPr>
        <w:spacing w:after="160" w:line="276"/>
      </w:pPr>
      <w:r>
        <w:rPr>
          <w:rFonts w:ascii="Calibri" w:cs="Calibri" w:eastAsia="Calibri" w:hAnsi="Calibri"/>
          <w:color w:val="222222"/>
          <w:sz w:val="21"/>
          <w:szCs w:val="21"/>
        </w:rPr>
        <w:t xml:space="preserve">This document does not constitute regulatory or legal advice. A qualified regulatory affairs specialist and IP counsel should be engaged before any clinical pilot or commercial deployment.</w:t>
      </w:r>
    </w:p>
    <w:p>
      <w:pPr>
        <w:pStyle w:val="Heading1"/>
        <w:pBdr>
          <w:bottom w:val="single" w:color="0F6E6A" w:sz="8" w:space="4"/>
        </w:pBdr>
        <w:spacing w:after="200" w:before="400"/>
      </w:pPr>
      <w:r>
        <w:rPr>
          <w:rFonts w:ascii="Calibri" w:cs="Calibri" w:eastAsia="Calibri" w:hAnsi="Calibri"/>
          <w:b/>
          <w:bCs/>
          <w:color w:val="1F3B57"/>
          <w:sz w:val="28"/>
          <w:szCs w:val="28"/>
        </w:rPr>
        <w:t xml:space="preserve">12. Interoperability Requirements</w:t>
      </w:r>
    </w:p>
    <w:p>
      <w:pPr>
        <w:spacing w:after="160" w:line="276"/>
      </w:pPr>
      <w:r>
        <w:rPr>
          <w:rFonts w:ascii="Calibri" w:cs="Calibri" w:eastAsia="Calibri" w:hAnsi="Calibri"/>
          <w:color w:val="222222"/>
          <w:sz w:val="21"/>
          <w:szCs w:val="21"/>
        </w:rPr>
        <w:t xml:space="preserve">To fit into the French digital-health ecosystem and avoid creating a new data silo, HAD Digital's data model and future integrations are designed with the following reference points in mind.</w:t>
      </w:r>
    </w:p>
    <w:p>
      <w:pPr>
        <w:pStyle w:val="ListParagraph"/>
        <w:numPr>
          <w:ilvl w:val="0"/>
          <w:numId w:val="2"/>
        </w:numPr>
        <w:spacing w:after="90" w:line="270"/>
      </w:pPr>
      <w:r>
        <w:rPr>
          <w:rFonts w:ascii="Calibri" w:cs="Calibri" w:eastAsia="Calibri" w:hAnsi="Calibri"/>
          <w:color w:val="222222"/>
          <w:sz w:val="21"/>
          <w:szCs w:val="21"/>
        </w:rPr>
        <w:t xml:space="preserve">HL7 FHIR: target structure for clinical data exchange, to ease future interoperability with hospital information systems and national services.</w:t>
      </w:r>
    </w:p>
    <w:p>
      <w:pPr>
        <w:pStyle w:val="ListParagraph"/>
        <w:numPr>
          <w:ilvl w:val="0"/>
          <w:numId w:val="2"/>
        </w:numPr>
        <w:spacing w:after="90" w:line="270"/>
      </w:pPr>
      <w:r>
        <w:rPr>
          <w:rFonts w:ascii="Calibri" w:cs="Calibri" w:eastAsia="Calibri" w:hAnsi="Calibri"/>
          <w:color w:val="222222"/>
          <w:sz w:val="21"/>
          <w:szCs w:val="21"/>
        </w:rPr>
        <w:t xml:space="preserve">Identifiant National de Santé (INS): patient identity matching aligned with the national health-identity referential.</w:t>
      </w:r>
    </w:p>
    <w:p>
      <w:pPr>
        <w:pStyle w:val="ListParagraph"/>
        <w:numPr>
          <w:ilvl w:val="0"/>
          <w:numId w:val="2"/>
        </w:numPr>
        <w:spacing w:after="90" w:line="270"/>
      </w:pPr>
      <w:r>
        <w:rPr>
          <w:rFonts w:ascii="Calibri" w:cs="Calibri" w:eastAsia="Calibri" w:hAnsi="Calibri"/>
          <w:color w:val="222222"/>
          <w:sz w:val="21"/>
          <w:szCs w:val="21"/>
        </w:rPr>
        <w:t xml:space="preserve">Mon Espace Santé / Dossier Médical Partagé (DMP): target channel for sharing toxicity summaries and care documents with the patient's broader care record, subject to patient consent (planned post-V1, see §4.2).</w:t>
      </w:r>
    </w:p>
    <w:p>
      <w:pPr>
        <w:pStyle w:val="ListParagraph"/>
        <w:numPr>
          <w:ilvl w:val="0"/>
          <w:numId w:val="2"/>
        </w:numPr>
        <w:spacing w:after="90" w:line="270"/>
      </w:pPr>
      <w:r>
        <w:rPr>
          <w:rFonts w:ascii="Calibri" w:cs="Calibri" w:eastAsia="Calibri" w:hAnsi="Calibri"/>
          <w:color w:val="222222"/>
          <w:sz w:val="21"/>
          <w:szCs w:val="21"/>
        </w:rPr>
        <w:t xml:space="preserve">Ségur du Numérique en Santé: alignment with the national interoperability and referencing framework as it applies to ambulatory/home-care software.</w:t>
      </w:r>
    </w:p>
    <w:p>
      <w:pPr>
        <w:pStyle w:val="Heading1"/>
        <w:pBdr>
          <w:bottom w:val="single" w:color="0F6E6A" w:sz="8" w:space="4"/>
        </w:pBdr>
        <w:spacing w:after="200" w:before="400"/>
      </w:pPr>
      <w:r>
        <w:rPr>
          <w:rFonts w:ascii="Calibri" w:cs="Calibri" w:eastAsia="Calibri" w:hAnsi="Calibri"/>
          <w:b/>
          <w:bCs/>
          <w:color w:val="1F3B57"/>
          <w:sz w:val="28"/>
          <w:szCs w:val="28"/>
        </w:rPr>
        <w:t xml:space="preserve">13. Success Metrics (KPIs)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tblHeader/>
        </w:trPr>
        <w:tc>
          <w:tcPr>
            <w:tcW w:type="dxa" w:w="26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Dimension</w:t>
            </w:r>
          </w:p>
        </w:tc>
        <w:tc>
          <w:tcPr>
            <w:tcW w:type="dxa" w:w="64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Indicative metric</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Clinical safety</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Rate of grade ≥3 toxicities detected and acted upon before requiring emergency-department presentation.</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Avoidable admissions</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Reduction in unplanned re-hospitalization rate for patients enrolled vs. historical baseline.</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Responsiveness</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Median time from toxicity report to care-team acknowledgment, by alert tier.</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Adoption</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Proportion of scheduled patient self-reports completed; active use rate by home-care professionals.</w:t>
            </w:r>
          </w:p>
        </w:tc>
      </w:tr>
      <w:tr>
        <w:tc>
          <w:tcPr>
            <w:tcW w:type="dxa" w:w="26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Efficiency</w:t>
            </w:r>
          </w:p>
        </w:tc>
        <w:tc>
          <w:tcPr>
            <w:tcW w:type="dxa" w:w="64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Clinician time saved on toxicity documentation and follow-up-letter drafting.</w:t>
            </w:r>
          </w:p>
        </w:tc>
      </w:tr>
      <w:tr>
        <w:tc>
          <w:tcPr>
            <w:tcW w:type="dxa" w:w="26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Satisfaction</w:t>
            </w:r>
          </w:p>
        </w:tc>
        <w:tc>
          <w:tcPr>
            <w:tcW w:type="dxa" w:w="64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Patient/caregiver and care-team satisfaction scores.</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14. Roadmap and Phasing</w:t>
      </w:r>
    </w:p>
    <w:p>
      <w:pPr>
        <w:pStyle w:val="Heading2"/>
        <w:spacing w:after="120" w:before="280"/>
      </w:pPr>
      <w:r>
        <w:rPr>
          <w:rFonts w:ascii="Calibri" w:cs="Calibri" w:eastAsia="Calibri" w:hAnsi="Calibri"/>
          <w:b/>
          <w:bCs/>
          <w:color w:val="0F6E6A"/>
          <w:sz w:val="24"/>
          <w:szCs w:val="24"/>
        </w:rPr>
        <w:t xml:space="preserve">Phase 0 — Concept protection and validation (current)</w:t>
      </w:r>
    </w:p>
    <w:p>
      <w:pPr>
        <w:pStyle w:val="ListParagraph"/>
        <w:numPr>
          <w:ilvl w:val="0"/>
          <w:numId w:val="2"/>
        </w:numPr>
        <w:spacing w:after="90" w:line="270"/>
      </w:pPr>
      <w:r>
        <w:rPr>
          <w:rFonts w:ascii="Calibri" w:cs="Calibri" w:eastAsia="Calibri" w:hAnsi="Calibri"/>
          <w:color w:val="222222"/>
          <w:sz w:val="21"/>
          <w:szCs w:val="21"/>
        </w:rPr>
        <w:t xml:space="preserve">Formalize and date this specification (anteriority record); define IP and confidentiality framework for future collaborators.</w:t>
      </w:r>
    </w:p>
    <w:p>
      <w:pPr>
        <w:pStyle w:val="ListParagraph"/>
        <w:numPr>
          <w:ilvl w:val="0"/>
          <w:numId w:val="2"/>
        </w:numPr>
        <w:spacing w:after="90" w:line="270"/>
      </w:pPr>
      <w:r>
        <w:rPr>
          <w:rFonts w:ascii="Calibri" w:cs="Calibri" w:eastAsia="Calibri" w:hAnsi="Calibri"/>
          <w:color w:val="222222"/>
          <w:sz w:val="21"/>
          <w:szCs w:val="21"/>
        </w:rPr>
        <w:t xml:space="preserve">Clinical advisory input on the escalation protocol and CTCAE term prioritization.</w:t>
      </w:r>
    </w:p>
    <w:p>
      <w:pPr>
        <w:pStyle w:val="Heading2"/>
        <w:spacing w:after="120" w:before="280"/>
      </w:pPr>
      <w:r>
        <w:rPr>
          <w:rFonts w:ascii="Calibri" w:cs="Calibri" w:eastAsia="Calibri" w:hAnsi="Calibri"/>
          <w:b/>
          <w:bCs/>
          <w:color w:val="0F6E6A"/>
          <w:sz w:val="24"/>
          <w:szCs w:val="24"/>
        </w:rPr>
        <w:t xml:space="preserve">Phase 1 — MVP / controlled pilot</w:t>
      </w:r>
    </w:p>
    <w:p>
      <w:pPr>
        <w:pStyle w:val="ListParagraph"/>
        <w:numPr>
          <w:ilvl w:val="0"/>
          <w:numId w:val="2"/>
        </w:numPr>
        <w:spacing w:after="90" w:line="270"/>
      </w:pPr>
      <w:r>
        <w:rPr>
          <w:rFonts w:ascii="Calibri" w:cs="Calibri" w:eastAsia="Calibri" w:hAnsi="Calibri"/>
          <w:color w:val="222222"/>
          <w:sz w:val="21"/>
          <w:szCs w:val="21"/>
        </w:rPr>
        <w:t xml:space="preserve">Deliver the functional scope in §4.1 for a single oncology department / HAD structure pilot, under a defined clinical-governance and data-protection framework.</w:t>
      </w:r>
    </w:p>
    <w:p>
      <w:pPr>
        <w:pStyle w:val="ListParagraph"/>
        <w:numPr>
          <w:ilvl w:val="0"/>
          <w:numId w:val="2"/>
        </w:numPr>
        <w:spacing w:after="90" w:line="270"/>
      </w:pPr>
      <w:r>
        <w:rPr>
          <w:rFonts w:ascii="Calibri" w:cs="Calibri" w:eastAsia="Calibri" w:hAnsi="Calibri"/>
          <w:color w:val="222222"/>
          <w:sz w:val="21"/>
          <w:szCs w:val="21"/>
        </w:rPr>
        <w:t xml:space="preserve">Formal regulatory qualification assessment (SaMD / non-SaMD) before pilot patient enrollment.</w:t>
      </w:r>
    </w:p>
    <w:p>
      <w:pPr>
        <w:pStyle w:val="Heading2"/>
        <w:spacing w:after="120" w:before="280"/>
      </w:pPr>
      <w:r>
        <w:rPr>
          <w:rFonts w:ascii="Calibri" w:cs="Calibri" w:eastAsia="Calibri" w:hAnsi="Calibri"/>
          <w:b/>
          <w:bCs/>
          <w:color w:val="0F6E6A"/>
          <w:sz w:val="24"/>
          <w:szCs w:val="24"/>
        </w:rPr>
        <w:t xml:space="preserve">Phase 2 — Extended platform</w:t>
      </w:r>
    </w:p>
    <w:p>
      <w:pPr>
        <w:pStyle w:val="ListParagraph"/>
        <w:numPr>
          <w:ilvl w:val="0"/>
          <w:numId w:val="2"/>
        </w:numPr>
        <w:spacing w:after="90" w:line="270"/>
      </w:pPr>
      <w:r>
        <w:rPr>
          <w:rFonts w:ascii="Calibri" w:cs="Calibri" w:eastAsia="Calibri" w:hAnsi="Calibri"/>
          <w:color w:val="222222"/>
          <w:sz w:val="21"/>
          <w:szCs w:val="21"/>
        </w:rPr>
        <w:t xml:space="preserve">Connected-device integration, Mon Espace Santé interoperability, multi-site deployment.</w:t>
      </w:r>
    </w:p>
    <w:p>
      <w:pPr>
        <w:pStyle w:val="Heading2"/>
        <w:spacing w:after="120" w:before="280"/>
      </w:pPr>
      <w:r>
        <w:rPr>
          <w:rFonts w:ascii="Calibri" w:cs="Calibri" w:eastAsia="Calibri" w:hAnsi="Calibri"/>
          <w:b/>
          <w:bCs/>
          <w:color w:val="0F6E6A"/>
          <w:sz w:val="24"/>
          <w:szCs w:val="24"/>
        </w:rPr>
        <w:t xml:space="preserve">Phase 3 — Data-driven refinement</w:t>
      </w:r>
    </w:p>
    <w:p>
      <w:pPr>
        <w:pStyle w:val="ListParagraph"/>
        <w:numPr>
          <w:ilvl w:val="0"/>
          <w:numId w:val="2"/>
        </w:numPr>
        <w:spacing w:after="90" w:line="270"/>
      </w:pPr>
      <w:r>
        <w:rPr>
          <w:rFonts w:ascii="Calibri" w:cs="Calibri" w:eastAsia="Calibri" w:hAnsi="Calibri"/>
          <w:color w:val="222222"/>
          <w:sz w:val="21"/>
          <w:szCs w:val="21"/>
        </w:rPr>
        <w:t xml:space="preserve">Under an approved research/ethics framework, use accumulated structured data to refine grading rules and explore predictive risk-scoring, with appropriate clinical validation.</w:t>
      </w:r>
    </w:p>
    <w:p>
      <w:pPr>
        <w:pStyle w:val="Heading1"/>
        <w:pBdr>
          <w:bottom w:val="single" w:color="0F6E6A" w:sz="8" w:space="4"/>
        </w:pBdr>
        <w:spacing w:after="200" w:before="400"/>
      </w:pPr>
      <w:r>
        <w:rPr>
          <w:rFonts w:ascii="Calibri" w:cs="Calibri" w:eastAsia="Calibri" w:hAnsi="Calibri"/>
          <w:b/>
          <w:bCs/>
          <w:color w:val="1F3B57"/>
          <w:sz w:val="28"/>
          <w:szCs w:val="28"/>
        </w:rPr>
        <w:t xml:space="preserve">15. Risks and Assumptions</w:t>
      </w:r>
    </w:p>
    <w:p>
      <w:pPr>
        <w:pStyle w:val="ListParagraph"/>
        <w:numPr>
          <w:ilvl w:val="0"/>
          <w:numId w:val="2"/>
        </w:numPr>
        <w:spacing w:after="90" w:line="270"/>
      </w:pPr>
      <w:r>
        <w:rPr>
          <w:rFonts w:ascii="Calibri" w:cs="Calibri" w:eastAsia="Calibri" w:hAnsi="Calibri"/>
          <w:color w:val="222222"/>
          <w:sz w:val="21"/>
          <w:szCs w:val="21"/>
        </w:rPr>
        <w:t xml:space="preserve">Regulatory risk: final SaMD qualification may impose requirements (CE marking, clinical evaluation) that materially affect timeline and cost — to be assessed early with regulatory counsel.</w:t>
      </w:r>
    </w:p>
    <w:p>
      <w:pPr>
        <w:pStyle w:val="ListParagraph"/>
        <w:numPr>
          <w:ilvl w:val="0"/>
          <w:numId w:val="2"/>
        </w:numPr>
        <w:spacing w:after="90" w:line="270"/>
      </w:pPr>
      <w:r>
        <w:rPr>
          <w:rFonts w:ascii="Calibri" w:cs="Calibri" w:eastAsia="Calibri" w:hAnsi="Calibri"/>
          <w:color w:val="222222"/>
          <w:sz w:val="21"/>
          <w:szCs w:val="21"/>
        </w:rPr>
        <w:t xml:space="preserve">Adoption risk: clinical and administrative workflows must be simple enough for a possibly frail, symptomatic patient population and for time-constrained home-care professionals.</w:t>
      </w:r>
    </w:p>
    <w:p>
      <w:pPr>
        <w:pStyle w:val="ListParagraph"/>
        <w:numPr>
          <w:ilvl w:val="0"/>
          <w:numId w:val="2"/>
        </w:numPr>
        <w:spacing w:after="90" w:line="270"/>
      </w:pPr>
      <w:r>
        <w:rPr>
          <w:rFonts w:ascii="Calibri" w:cs="Calibri" w:eastAsia="Calibri" w:hAnsi="Calibri"/>
          <w:color w:val="222222"/>
          <w:sz w:val="21"/>
          <w:szCs w:val="21"/>
        </w:rPr>
        <w:t xml:space="preserve">Data-quality risk: grading quality depends on the completeness and honesty of patient self-report; the design mitigates this with clinician confirmation for grade ≥ 2 (§7.3).</w:t>
      </w:r>
    </w:p>
    <w:p>
      <w:pPr>
        <w:pStyle w:val="ListParagraph"/>
        <w:numPr>
          <w:ilvl w:val="0"/>
          <w:numId w:val="2"/>
        </w:numPr>
        <w:spacing w:after="90" w:line="270"/>
      </w:pPr>
      <w:r>
        <w:rPr>
          <w:rFonts w:ascii="Calibri" w:cs="Calibri" w:eastAsia="Calibri" w:hAnsi="Calibri"/>
          <w:color w:val="222222"/>
          <w:sz w:val="21"/>
          <w:szCs w:val="21"/>
        </w:rPr>
        <w:t xml:space="preserve">IP risk: the concept and the grading/alerting logic must be protected (date-stamped record, confidentiality agreements, and controlled disclosure) before detailed technical specifications are shared with external developers — see §17.</w:t>
      </w:r>
    </w:p>
    <w:p>
      <w:pPr>
        <w:pStyle w:val="Heading1"/>
        <w:pBdr>
          <w:bottom w:val="single" w:color="0F6E6A" w:sz="8" w:space="4"/>
        </w:pBdr>
        <w:spacing w:after="200" w:before="400"/>
      </w:pPr>
      <w:r>
        <w:rPr>
          <w:rFonts w:ascii="Calibri" w:cs="Calibri" w:eastAsia="Calibri" w:hAnsi="Calibri"/>
          <w:b/>
          <w:bCs/>
          <w:color w:val="1F3B57"/>
          <w:sz w:val="28"/>
          <w:szCs w:val="28"/>
        </w:rPr>
        <w:t xml:space="preserve">16. Glossary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rPr>
          <w:tblHeader/>
        </w:trPr>
        <w:tc>
          <w:tcPr>
            <w:tcW w:type="dxa" w:w="22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Term</w:t>
            </w:r>
          </w:p>
        </w:tc>
        <w:tc>
          <w:tcPr>
            <w:tcW w:type="dxa" w:w="6800"/>
            <w:shd w:fill="1F3B57" w:color="auto" w:val="clear"/>
            <w:tcMar>
              <w:top w:type="dxa" w:w="80"/>
              <w:left w:type="dxa" w:w="120"/>
              <w:bottom w:type="dxa" w:w="80"/>
              <w:right w:type="dxa" w:w="120"/>
            </w:tcMar>
            <w:vAlign w:val="center"/>
          </w:tcPr>
          <w:p>
            <w:pPr>
              <w:jc w:val="left"/>
            </w:pPr>
            <w:r>
              <w:rPr>
                <w:rFonts w:ascii="Calibri" w:cs="Calibri" w:eastAsia="Calibri" w:hAnsi="Calibri"/>
                <w:b/>
                <w:bCs/>
                <w:color w:val="FFFFFF"/>
                <w:sz w:val="20"/>
                <w:szCs w:val="20"/>
              </w:rPr>
              <w:t xml:space="preserve">Definition</w:t>
            </w:r>
          </w:p>
        </w:tc>
      </w:tr>
      <w:tr>
        <w:tc>
          <w:tcPr>
            <w:tcW w:type="dxa" w:w="2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HAD</w:t>
            </w:r>
          </w:p>
        </w:tc>
        <w:tc>
          <w:tcPr>
            <w:tcW w:type="dxa" w:w="6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Hospitalisation à Domicile — the French regulated home-hospitalization care model, providing hospital-level care at the patient's home.</w:t>
            </w:r>
          </w:p>
        </w:tc>
      </w:tr>
      <w:tr>
        <w:tc>
          <w:tcPr>
            <w:tcW w:type="dxa" w:w="2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CTCAE</w:t>
            </w:r>
          </w:p>
        </w:tc>
        <w:tc>
          <w:tcPr>
            <w:tcW w:type="dxa" w:w="68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Common Terminology Criteria for Adverse Events — the NCI's standardized grading system (v5.0) for the severity of treatment-related adverse events.</w:t>
            </w:r>
          </w:p>
        </w:tc>
      </w:tr>
      <w:tr>
        <w:tc>
          <w:tcPr>
            <w:tcW w:type="dxa" w:w="2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SaMD</w:t>
            </w:r>
          </w:p>
        </w:tc>
        <w:tc>
          <w:tcPr>
            <w:tcW w:type="dxa" w:w="6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Software as a Medical Device — a regulatory qualification under the EU Medical Device Regulation for software providing a medical purpose.</w:t>
            </w:r>
          </w:p>
        </w:tc>
      </w:tr>
      <w:tr>
        <w:tc>
          <w:tcPr>
            <w:tcW w:type="dxa" w:w="2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HDS</w:t>
            </w:r>
          </w:p>
        </w:tc>
        <w:tc>
          <w:tcPr>
            <w:tcW w:type="dxa" w:w="68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Hébergeur de Données de Santé — the French certification required to host health data.</w:t>
            </w:r>
          </w:p>
        </w:tc>
      </w:tr>
      <w:tr>
        <w:tc>
          <w:tcPr>
            <w:tcW w:type="dxa" w:w="2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DMP / Mon Espace Santé</w:t>
            </w:r>
          </w:p>
        </w:tc>
        <w:tc>
          <w:tcPr>
            <w:tcW w:type="dxa" w:w="6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The French shared/personal digital health record.</w:t>
            </w:r>
          </w:p>
        </w:tc>
      </w:tr>
      <w:tr>
        <w:tc>
          <w:tcPr>
            <w:tcW w:type="dxa" w:w="2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INS</w:t>
            </w:r>
          </w:p>
        </w:tc>
        <w:tc>
          <w:tcPr>
            <w:tcW w:type="dxa" w:w="68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Identifiant National de Santé — the French national patient health-identity referential.</w:t>
            </w:r>
          </w:p>
        </w:tc>
      </w:tr>
      <w:tr>
        <w:tc>
          <w:tcPr>
            <w:tcW w:type="dxa" w:w="22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FHIR</w:t>
            </w:r>
          </w:p>
        </w:tc>
        <w:tc>
          <w:tcPr>
            <w:tcW w:type="dxa" w:w="6800"/>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Fast Healthcare Interoperability Resources — an HL7 standard for exchanging healthcare data electronically.</w:t>
            </w:r>
          </w:p>
        </w:tc>
      </w:tr>
      <w:tr>
        <w:tc>
          <w:tcPr>
            <w:tcW w:type="dxa" w:w="22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MVP</w:t>
            </w:r>
          </w:p>
        </w:tc>
        <w:tc>
          <w:tcPr>
            <w:tcW w:type="dxa" w:w="6800"/>
            <w:shd w:fill="EAF1F1" w:color="auto" w:val="clear"/>
            <w:tcMar>
              <w:top w:type="dxa" w:w="80"/>
              <w:left w:type="dxa" w:w="120"/>
              <w:bottom w:type="dxa" w:w="80"/>
              <w:right w:type="dxa" w:w="120"/>
            </w:tcMar>
            <w:vAlign w:val="center"/>
          </w:tcPr>
          <w:p>
            <w:pPr>
              <w:jc w:val="left"/>
            </w:pPr>
            <w:r>
              <w:rPr>
                <w:rFonts w:ascii="Calibri" w:cs="Calibri" w:eastAsia="Calibri" w:hAnsi="Calibri"/>
                <w:b w:val="false"/>
                <w:bCs w:val="false"/>
                <w:color w:val="222222"/>
                <w:sz w:val="20"/>
                <w:szCs w:val="20"/>
              </w:rPr>
              <w:t xml:space="preserve">Minimum Viable Product — the minimal functional scope required to validate the concept in real conditions.</w:t>
            </w:r>
          </w:p>
        </w:tc>
      </w:tr>
    </w:tbl>
    <w:p>
      <w:pPr>
        <w:spacing w:after="100"/>
      </w:pPr>
    </w:p>
    <w:p>
      <w:pPr>
        <w:pStyle w:val="Heading1"/>
        <w:pBdr>
          <w:bottom w:val="single" w:color="0F6E6A" w:sz="8" w:space="4"/>
        </w:pBdr>
        <w:spacing w:after="200" w:before="400"/>
      </w:pPr>
      <w:r>
        <w:rPr>
          <w:rFonts w:ascii="Calibri" w:cs="Calibri" w:eastAsia="Calibri" w:hAnsi="Calibri"/>
          <w:b/>
          <w:bCs/>
          <w:color w:val="1F3B57"/>
          <w:sz w:val="28"/>
          <w:szCs w:val="28"/>
        </w:rPr>
        <w:t xml:space="preserve">17. Intellectual Property Statement</w:t>
      </w:r>
    </w:p>
    <w:p>
      <w:pPr>
        <w:spacing w:after="160" w:line="276"/>
      </w:pPr>
      <w:r>
        <w:rPr>
          <w:rFonts w:ascii="Calibri" w:cs="Calibri" w:eastAsia="Calibri" w:hAnsi="Calibri"/>
          <w:color w:val="222222"/>
          <w:sz w:val="21"/>
          <w:szCs w:val="21"/>
        </w:rPr>
        <w:t xml:space="preserve">This specification, the HAD Digital concept, the Toxicity Reader concept and module design, and the associated grading and escalation logic described or referenced herein were originally conceived by Dr Kais Aldabbagh. This document is a record of that concept as of its date of issue.</w:t>
      </w:r>
    </w:p>
    <w:p>
      <w:pPr>
        <w:spacing w:after="160" w:line="276"/>
      </w:pPr>
      <w:r>
        <w:rPr>
          <w:rFonts w:ascii="Calibri" w:cs="Calibri" w:eastAsia="Calibri" w:hAnsi="Calibri"/>
          <w:color w:val="222222"/>
          <w:sz w:val="21"/>
          <w:szCs w:val="21"/>
        </w:rPr>
        <w:t xml:space="preserve">No license, assignment or right to use, reproduce, develop or commercialize this concept is granted by the disclosure of this document. Any development partner, contractor or collaborator engaged on this project will be required to sign a confidentiality agreement and an intellectual-property assignment agreement covering any code, design or derivative work produced, prior to receiving detailed technical specifications.</w:t>
      </w:r>
    </w:p>
    <w:p>
      <w:pPr>
        <w:spacing w:after="160" w:line="276"/>
      </w:pPr>
      <w:r>
        <w:rPr>
          <w:rFonts w:ascii="Calibri" w:cs="Calibri" w:eastAsia="Calibri" w:hAnsi="Calibri"/>
          <w:color w:val="222222"/>
          <w:sz w:val="21"/>
          <w:szCs w:val="21"/>
        </w:rPr>
        <w:t xml:space="preserve">This document is not legal advice. Formal protection steps (anteriority filing, trademark registration for the project name(s), source-code deposit once developed, and legal review of development and IP-assignment contracts) should be carried out with qualified intellectual-property counsel.</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5F66"/>
        <w:sz w:val="16"/>
        <w:szCs w:val="16"/>
      </w:rPr>
      <w:t xml:space="preserve">Page </w:t>
    </w:r>
    <w:r>
      <w:rPr>
        <w:rFonts w:ascii="Calibri" w:cs="Calibri" w:eastAsia="Calibri" w:hAnsi="Calibri"/>
        <w:color w:val="5A5F66"/>
        <w:sz w:val="16"/>
        <w:szCs w:val="16"/>
      </w:rPr>
      <w:fldChar w:fldCharType="begin"/>
      <w:instrText xml:space="preserve">PAGE</w:instrText>
      <w:fldChar w:fldCharType="separate"/>
      <w:fldChar w:fldCharType="end"/>
    </w:r>
    <w:r>
      <w:rPr>
        <w:rFonts w:ascii="Calibri" w:cs="Calibri" w:eastAsia="Calibri" w:hAnsi="Calibri"/>
        <w:color w:val="5A5F66"/>
        <w:sz w:val="16"/>
        <w:szCs w:val="16"/>
      </w:rPr>
      <w:t xml:space="preserve"> of </w:t>
    </w:r>
    <w:r>
      <w:rPr>
        <w:rFonts w:ascii="Calibri" w:cs="Calibri" w:eastAsia="Calibri" w:hAnsi="Calibri"/>
        <w:color w:val="5A5F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D6" w:sz="4" w:space="4"/>
      </w:pBdr>
      <w:jc w:val="right"/>
    </w:pPr>
    <w:r>
      <w:rPr>
        <w:rFonts w:ascii="Calibri" w:cs="Calibri" w:eastAsia="Calibri" w:hAnsi="Calibri"/>
        <w:color w:val="5A5F66"/>
        <w:sz w:val="16"/>
        <w:szCs w:val="16"/>
      </w:rPr>
      <w:t xml:space="preserve">HAD Digital — Specifications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2026-09-01T18:30:09.311Z</dcterms:created>
  <dcterms:modified xsi:type="dcterms:W3CDTF">2026-09-01T18:30:09.329Z</dcterms:modified>
</cp:coreProperties>
</file>

<file path=docProps/custom.xml><?xml version="1.0" encoding="utf-8"?>
<Properties xmlns="http://schemas.openxmlformats.org/officeDocument/2006/custom-properties" xmlns:vt="http://schemas.openxmlformats.org/officeDocument/2006/docPropsVTypes"/>
</file>